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A9A" w:rsidRPr="004745BF" w:rsidRDefault="00045A9A" w:rsidP="00045A9A">
      <w:pPr>
        <w:pStyle w:val="ListParagraph"/>
        <w:spacing w:after="0" w:line="240" w:lineRule="auto"/>
        <w:ind w:left="782"/>
        <w:jc w:val="both"/>
        <w:rPr>
          <w:lang w:val="lv-LV"/>
        </w:rPr>
      </w:pPr>
    </w:p>
    <w:p w:rsidR="00045A9A" w:rsidRPr="004745BF" w:rsidRDefault="00045A9A" w:rsidP="00045A9A">
      <w:pPr>
        <w:pStyle w:val="ListParagraph"/>
        <w:spacing w:after="0" w:line="240" w:lineRule="auto"/>
        <w:ind w:left="782"/>
        <w:jc w:val="right"/>
        <w:rPr>
          <w:lang w:val="lv-LV"/>
        </w:rPr>
      </w:pPr>
      <w:r w:rsidRPr="004745BF">
        <w:rPr>
          <w:lang w:val="lv-LV"/>
        </w:rPr>
        <w:t>Pielikums</w:t>
      </w:r>
    </w:p>
    <w:p w:rsidR="00045A9A" w:rsidRPr="004745BF" w:rsidRDefault="00045A9A" w:rsidP="00045A9A">
      <w:pPr>
        <w:pStyle w:val="ListParagraph"/>
        <w:spacing w:after="0" w:line="240" w:lineRule="auto"/>
        <w:ind w:left="782"/>
        <w:jc w:val="right"/>
        <w:rPr>
          <w:lang w:val="lv-LV"/>
        </w:rPr>
      </w:pPr>
      <w:r w:rsidRPr="004745BF">
        <w:rPr>
          <w:lang w:val="lv-LV"/>
        </w:rPr>
        <w:t>Paziņojumam par maksas aprēķināšanas shēmas</w:t>
      </w:r>
    </w:p>
    <w:p w:rsidR="00045A9A" w:rsidRPr="004745BF" w:rsidRDefault="00045A9A" w:rsidP="00045A9A">
      <w:pPr>
        <w:pStyle w:val="ListParagraph"/>
        <w:spacing w:after="0" w:line="240" w:lineRule="auto"/>
        <w:ind w:left="782"/>
        <w:jc w:val="right"/>
        <w:rPr>
          <w:lang w:val="lv-LV"/>
        </w:rPr>
      </w:pPr>
      <w:r w:rsidRPr="004745BF">
        <w:rPr>
          <w:lang w:val="lv-LV"/>
        </w:rPr>
        <w:t xml:space="preserve"> </w:t>
      </w:r>
      <w:r>
        <w:rPr>
          <w:lang w:val="lv-LV"/>
        </w:rPr>
        <w:t>XI nodaļas "</w:t>
      </w:r>
      <w:r w:rsidRPr="004745BF">
        <w:rPr>
          <w:lang w:val="lv-LV"/>
        </w:rPr>
        <w:t>Maksas diferencēšana tīkla darb</w:t>
      </w:r>
      <w:r>
        <w:rPr>
          <w:lang w:val="lv-LV"/>
        </w:rPr>
        <w:t>ības uzlabošanas nodrošināšanai"</w:t>
      </w:r>
    </w:p>
    <w:p w:rsidR="00045A9A" w:rsidRPr="004745BF" w:rsidRDefault="00045A9A" w:rsidP="00045A9A">
      <w:pPr>
        <w:pStyle w:val="ListParagraph"/>
        <w:spacing w:after="0" w:line="240" w:lineRule="auto"/>
        <w:ind w:left="782"/>
        <w:jc w:val="right"/>
        <w:rPr>
          <w:lang w:val="lv-LV"/>
        </w:rPr>
      </w:pPr>
      <w:r w:rsidRPr="004745BF">
        <w:rPr>
          <w:lang w:val="lv-LV"/>
        </w:rPr>
        <w:t xml:space="preserve"> grozījumu projekta apspriešanu</w:t>
      </w:r>
    </w:p>
    <w:p w:rsidR="00045A9A" w:rsidRPr="004745BF" w:rsidRDefault="00045A9A" w:rsidP="00045A9A">
      <w:pPr>
        <w:pStyle w:val="ListParagraph"/>
        <w:spacing w:after="0" w:line="240" w:lineRule="auto"/>
        <w:ind w:left="782"/>
        <w:jc w:val="both"/>
        <w:rPr>
          <w:lang w:val="lv-LV"/>
        </w:rPr>
      </w:pPr>
      <w:r w:rsidRPr="004745BF">
        <w:rPr>
          <w:lang w:val="lv-LV"/>
        </w:rPr>
        <w:t xml:space="preserve">  </w:t>
      </w:r>
    </w:p>
    <w:p w:rsidR="00045A9A" w:rsidRPr="000A626E" w:rsidRDefault="00045A9A" w:rsidP="00045A9A">
      <w:pPr>
        <w:jc w:val="center"/>
        <w:rPr>
          <w:b/>
        </w:rPr>
      </w:pPr>
      <w:r>
        <w:rPr>
          <w:b/>
        </w:rPr>
        <w:t xml:space="preserve">Grozījumi AS </w:t>
      </w:r>
      <w:r>
        <w:t>"</w:t>
      </w:r>
      <w:r>
        <w:rPr>
          <w:b/>
        </w:rPr>
        <w:t>LatRailNet</w:t>
      </w:r>
      <w:r>
        <w:t>"</w:t>
      </w:r>
      <w:r w:rsidRPr="000A626E">
        <w:rPr>
          <w:b/>
        </w:rPr>
        <w:t xml:space="preserve"> 2017.gada 30.jūnija </w:t>
      </w:r>
      <w:r>
        <w:rPr>
          <w:b/>
        </w:rPr>
        <w:t xml:space="preserve">noteikumos Nr.JALP-7.6/01-2017 </w:t>
      </w:r>
      <w:r>
        <w:t>"</w:t>
      </w:r>
      <w:r>
        <w:rPr>
          <w:b/>
        </w:rPr>
        <w:t>Maksas aprēķināšanas shēma</w:t>
      </w:r>
      <w:r>
        <w:t>"</w:t>
      </w:r>
    </w:p>
    <w:p w:rsidR="00045A9A" w:rsidRDefault="00045A9A" w:rsidP="00045A9A">
      <w:pPr>
        <w:pStyle w:val="ListParagraph"/>
        <w:numPr>
          <w:ilvl w:val="0"/>
          <w:numId w:val="1"/>
        </w:numPr>
        <w:ind w:left="0" w:firstLine="426"/>
        <w:rPr>
          <w:lang w:val="lv-LV"/>
        </w:rPr>
      </w:pPr>
      <w:r w:rsidRPr="000A626E">
        <w:rPr>
          <w:lang w:val="lv-LV"/>
        </w:rPr>
        <w:t>Izteikt</w:t>
      </w:r>
      <w:r>
        <w:rPr>
          <w:lang w:val="lv-LV"/>
        </w:rPr>
        <w:t xml:space="preserve"> maksas aprēķināšanas shēmas XI</w:t>
      </w:r>
      <w:r w:rsidRPr="000A626E">
        <w:rPr>
          <w:lang w:val="lv-LV"/>
        </w:rPr>
        <w:t xml:space="preserve"> </w:t>
      </w:r>
      <w:r>
        <w:rPr>
          <w:lang w:val="lv-LV"/>
        </w:rPr>
        <w:t>nodaļu "</w:t>
      </w:r>
      <w:r w:rsidRPr="000A626E">
        <w:rPr>
          <w:lang w:val="lv-LV"/>
        </w:rPr>
        <w:t>Maksas diferencēšana tīkla darbības uzlabošanas nodrošināšanai</w:t>
      </w:r>
      <w:r>
        <w:rPr>
          <w:lang w:val="lv-LV"/>
        </w:rPr>
        <w:t>"</w:t>
      </w:r>
      <w:r w:rsidRPr="000A626E">
        <w:rPr>
          <w:lang w:val="lv-LV"/>
        </w:rPr>
        <w:t xml:space="preserve"> šādā redakcijā:</w:t>
      </w:r>
    </w:p>
    <w:p w:rsidR="00045A9A" w:rsidRDefault="00045A9A" w:rsidP="00045A9A">
      <w:pPr>
        <w:pStyle w:val="ListParagraph"/>
        <w:ind w:left="426"/>
        <w:rPr>
          <w:lang w:val="lv-LV"/>
        </w:rPr>
      </w:pPr>
    </w:p>
    <w:p w:rsidR="00045A9A" w:rsidRPr="006F1227" w:rsidRDefault="00045A9A" w:rsidP="00045A9A">
      <w:pPr>
        <w:pStyle w:val="ListParagraph"/>
        <w:ind w:left="426"/>
        <w:jc w:val="center"/>
        <w:rPr>
          <w:b/>
          <w:lang w:val="lv-LV"/>
        </w:rPr>
      </w:pPr>
      <w:r>
        <w:rPr>
          <w:lang w:val="lv-LV"/>
        </w:rPr>
        <w:t>"</w:t>
      </w:r>
      <w:r w:rsidRPr="006F1227">
        <w:rPr>
          <w:b/>
          <w:lang w:val="lv-LV"/>
        </w:rPr>
        <w:t>XI. Maksas diferencēšana tīkla darbības uzlabošanas nodrošināšanai</w:t>
      </w:r>
    </w:p>
    <w:p w:rsidR="00045A9A" w:rsidRDefault="00045A9A" w:rsidP="00045A9A">
      <w:pPr>
        <w:shd w:val="clear" w:color="auto" w:fill="FFFFFF"/>
        <w:spacing w:before="0" w:after="0" w:line="293" w:lineRule="atLeast"/>
      </w:pPr>
      <w:r>
        <w:rPr>
          <w:rFonts w:eastAsia="Times New Roman" w:cs="Times New Roman"/>
          <w:szCs w:val="24"/>
          <w:lang w:eastAsia="lv-LV"/>
        </w:rPr>
        <w:t xml:space="preserve">43. </w:t>
      </w:r>
      <w:r>
        <w:t xml:space="preserve">Maksas noteicējs piemēro sankcijas </w:t>
      </w:r>
      <w:r w:rsidRPr="00356DB8">
        <w:rPr>
          <w:b/>
        </w:rPr>
        <w:t xml:space="preserve">M </w:t>
      </w:r>
      <w:r w:rsidRPr="00356DB8">
        <w:rPr>
          <w:b/>
          <w:vertAlign w:val="subscript"/>
        </w:rPr>
        <w:t>sankc param gr s</w:t>
      </w:r>
      <w:r>
        <w:t xml:space="preserve"> par rīcību, kas traucē dzelzceļa infrastruktūras darbībai, kompensācijas </w:t>
      </w:r>
      <w:r w:rsidRPr="00356DB8">
        <w:rPr>
          <w:b/>
        </w:rPr>
        <w:t xml:space="preserve">M </w:t>
      </w:r>
      <w:r w:rsidRPr="00356DB8">
        <w:rPr>
          <w:b/>
          <w:vertAlign w:val="subscript"/>
        </w:rPr>
        <w:t>komp param gr s</w:t>
      </w:r>
      <w:r>
        <w:t xml:space="preserve"> tiem, kam traucējumu dēļ rodas zaudējumi, un prēmijas </w:t>
      </w:r>
      <w:r w:rsidRPr="00356DB8">
        <w:rPr>
          <w:b/>
        </w:rPr>
        <w:t xml:space="preserve">M </w:t>
      </w:r>
      <w:r w:rsidRPr="00356DB8">
        <w:rPr>
          <w:b/>
          <w:vertAlign w:val="subscript"/>
        </w:rPr>
        <w:t>prēm param gr s</w:t>
      </w:r>
      <w:r>
        <w:t>, kuras norādītas shēmas 8.pielikumā.</w:t>
      </w:r>
    </w:p>
    <w:p w:rsidR="00045A9A" w:rsidRDefault="00045A9A" w:rsidP="00045A9A">
      <w:pPr>
        <w:shd w:val="clear" w:color="auto" w:fill="FFFFFF"/>
        <w:spacing w:before="0" w:after="0" w:line="293" w:lineRule="atLeast"/>
      </w:pPr>
    </w:p>
    <w:p w:rsidR="00045A9A" w:rsidRPr="000A626E" w:rsidRDefault="00045A9A" w:rsidP="00045A9A">
      <w:pPr>
        <w:pStyle w:val="NormalWeb"/>
        <w:jc w:val="both"/>
        <w:rPr>
          <w:lang w:val="lv-LV"/>
        </w:rPr>
      </w:pPr>
      <w:r w:rsidRPr="000A626E">
        <w:rPr>
          <w:lang w:val="lv-LV"/>
        </w:rPr>
        <w:t xml:space="preserve">44. </w:t>
      </w:r>
      <w:r>
        <w:rPr>
          <w:lang w:val="lv-LV"/>
        </w:rPr>
        <w:t>U</w:t>
      </w:r>
      <w:r w:rsidRPr="000A626E">
        <w:rPr>
          <w:lang w:val="lv-LV"/>
        </w:rPr>
        <w:t>zskaitāmo cēloņu saraksts, to mērvienības</w:t>
      </w:r>
      <w:r>
        <w:rPr>
          <w:lang w:val="lv-LV"/>
        </w:rPr>
        <w:t>, pieļaujamās robežas, kā arī sankciju</w:t>
      </w:r>
      <w:r w:rsidRPr="004745BF">
        <w:rPr>
          <w:lang w:val="lv-LV"/>
        </w:rPr>
        <w:t xml:space="preserve">, kompensāciju un </w:t>
      </w:r>
      <w:r>
        <w:rPr>
          <w:lang w:val="lv-LV"/>
        </w:rPr>
        <w:t>prēmiju finansiālās</w:t>
      </w:r>
      <w:r w:rsidRPr="004745BF">
        <w:rPr>
          <w:lang w:val="lv-LV"/>
        </w:rPr>
        <w:t xml:space="preserve"> vērtī</w:t>
      </w:r>
      <w:r>
        <w:rPr>
          <w:lang w:val="lv-LV"/>
        </w:rPr>
        <w:t>bas</w:t>
      </w:r>
      <w:r w:rsidRPr="000A626E">
        <w:rPr>
          <w:lang w:val="lv-LV"/>
        </w:rPr>
        <w:t>, ievērojot efektīvus, pārredzamus un nediskri</w:t>
      </w:r>
      <w:r>
        <w:rPr>
          <w:lang w:val="lv-LV"/>
        </w:rPr>
        <w:t>minējošus principus izklāstītas shēmas 8</w:t>
      </w:r>
      <w:r w:rsidRPr="000A626E">
        <w:rPr>
          <w:lang w:val="lv-LV"/>
        </w:rPr>
        <w:t>.pielikumā.</w:t>
      </w:r>
      <w:r>
        <w:rPr>
          <w:lang w:val="lv-LV"/>
        </w:rPr>
        <w:t>".</w:t>
      </w:r>
    </w:p>
    <w:p w:rsidR="00045A9A" w:rsidRDefault="00045A9A" w:rsidP="00045A9A">
      <w:pPr>
        <w:ind w:firstLine="426"/>
        <w:rPr>
          <w:rFonts w:cs="Times New Roman"/>
          <w:szCs w:val="24"/>
        </w:rPr>
      </w:pPr>
      <w:r w:rsidRPr="000A626E">
        <w:rPr>
          <w:rFonts w:cs="Times New Roman"/>
          <w:szCs w:val="24"/>
        </w:rPr>
        <w:t xml:space="preserve">2. </w:t>
      </w:r>
      <w:r>
        <w:rPr>
          <w:rFonts w:cs="Times New Roman"/>
          <w:szCs w:val="24"/>
        </w:rPr>
        <w:t xml:space="preserve">Papildināt maksas aprēķināšanas shēmu ar 8.pielikumu </w:t>
      </w:r>
      <w:r>
        <w:t>"</w:t>
      </w:r>
      <w:r>
        <w:rPr>
          <w:rFonts w:cs="Times New Roman"/>
          <w:szCs w:val="24"/>
        </w:rPr>
        <w:t>T</w:t>
      </w:r>
      <w:r w:rsidRPr="000A626E">
        <w:rPr>
          <w:rFonts w:cs="Times New Roman"/>
          <w:szCs w:val="24"/>
        </w:rPr>
        <w:t>īkla darbības uzlabošanas nodrošināšanai</w:t>
      </w:r>
      <w:r w:rsidRPr="000A626E">
        <w:t xml:space="preserve"> u</w:t>
      </w:r>
      <w:r w:rsidRPr="000A626E">
        <w:rPr>
          <w:rFonts w:cs="Times New Roman"/>
          <w:szCs w:val="24"/>
        </w:rPr>
        <w:t>zskaitāmo cēloņu saraksts, to mērvienības</w:t>
      </w:r>
      <w:r w:rsidRPr="000A626E">
        <w:t xml:space="preserve"> un</w:t>
      </w:r>
      <w:r w:rsidRPr="000A626E">
        <w:rPr>
          <w:rFonts w:cs="Times New Roman"/>
          <w:szCs w:val="24"/>
        </w:rPr>
        <w:t xml:space="preserve"> </w:t>
      </w:r>
      <w:r>
        <w:t>pieļaujamā</w:t>
      </w:r>
      <w:r w:rsidRPr="000A626E">
        <w:t xml:space="preserve">s robežas, kā arī sankciju, kompensāciju un prēmiju </w:t>
      </w:r>
      <w:r>
        <w:t>finansiālās</w:t>
      </w:r>
      <w:r w:rsidRPr="000A626E">
        <w:t xml:space="preserve"> vērtī</w:t>
      </w:r>
      <w:r>
        <w:t>bas"</w:t>
      </w:r>
      <w:r>
        <w:rPr>
          <w:rFonts w:cs="Times New Roman"/>
          <w:szCs w:val="24"/>
        </w:rPr>
        <w:t xml:space="preserve"> un izteikt to šādā redakcijā: </w:t>
      </w:r>
    </w:p>
    <w:p w:rsidR="00045A9A" w:rsidRDefault="00045A9A" w:rsidP="00045A9A">
      <w:pPr>
        <w:ind w:firstLine="426"/>
        <w:jc w:val="right"/>
        <w:rPr>
          <w:rFonts w:cs="Times New Roman"/>
          <w:szCs w:val="24"/>
        </w:rPr>
      </w:pPr>
      <w:r>
        <w:t>"</w:t>
      </w:r>
      <w:r>
        <w:rPr>
          <w:rFonts w:cs="Times New Roman"/>
          <w:szCs w:val="24"/>
        </w:rPr>
        <w:t>8.pielikums</w:t>
      </w:r>
    </w:p>
    <w:p w:rsidR="00045A9A" w:rsidRDefault="00045A9A" w:rsidP="00045A9A">
      <w:pPr>
        <w:ind w:firstLine="426"/>
        <w:jc w:val="center"/>
        <w:rPr>
          <w:rFonts w:cs="Times New Roman"/>
          <w:szCs w:val="24"/>
        </w:rPr>
      </w:pPr>
      <w:r w:rsidRPr="00A85703">
        <w:rPr>
          <w:rFonts w:cs="Times New Roman"/>
          <w:b/>
          <w:szCs w:val="24"/>
        </w:rPr>
        <w:t>Tīkla darbības uzlabošanas nodrošināšanai</w:t>
      </w:r>
      <w:r w:rsidRPr="00A85703">
        <w:rPr>
          <w:b/>
        </w:rPr>
        <w:t xml:space="preserve"> u</w:t>
      </w:r>
      <w:r w:rsidRPr="00A85703">
        <w:rPr>
          <w:rFonts w:cs="Times New Roman"/>
          <w:b/>
          <w:szCs w:val="24"/>
        </w:rPr>
        <w:t>zskaitāmo cēloņu saraksts, to mērvienības</w:t>
      </w:r>
      <w:r w:rsidRPr="00A85703">
        <w:rPr>
          <w:b/>
        </w:rPr>
        <w:t xml:space="preserve"> un</w:t>
      </w:r>
      <w:r w:rsidRPr="00A85703">
        <w:rPr>
          <w:rFonts w:cs="Times New Roman"/>
          <w:b/>
          <w:szCs w:val="24"/>
        </w:rPr>
        <w:t xml:space="preserve"> </w:t>
      </w:r>
      <w:r>
        <w:rPr>
          <w:b/>
        </w:rPr>
        <w:t>pieļaujamā</w:t>
      </w:r>
      <w:r w:rsidRPr="00A85703">
        <w:rPr>
          <w:b/>
        </w:rPr>
        <w:t>s robežas, kā arī sankciju, kompensāciju un prēmiju finansiālās vērtības</w:t>
      </w:r>
    </w:p>
    <w:p w:rsidR="00045A9A" w:rsidRPr="002F62E6" w:rsidRDefault="00045A9A" w:rsidP="00045A9A">
      <w:pPr>
        <w:spacing w:before="0" w:after="0"/>
        <w:rPr>
          <w:rFonts w:cs="Times New Roman"/>
          <w:szCs w:val="24"/>
        </w:rPr>
      </w:pPr>
      <w:r w:rsidRPr="002F62E6">
        <w:rPr>
          <w:rFonts w:eastAsia="Times New Roman"/>
          <w:lang w:eastAsia="lv-LV"/>
        </w:rPr>
        <w:t>1.</w:t>
      </w:r>
      <w:r>
        <w:rPr>
          <w:rFonts w:eastAsia="Times New Roman"/>
          <w:lang w:eastAsia="lv-LV"/>
        </w:rPr>
        <w:t xml:space="preserve"> Par kavējumu, kuram uzskaita cēloņus, uzskata</w:t>
      </w:r>
      <w:r w:rsidRPr="002F62E6">
        <w:rPr>
          <w:rFonts w:eastAsia="Times New Roman"/>
          <w:lang w:eastAsia="lv-LV"/>
        </w:rPr>
        <w:t>:</w:t>
      </w:r>
    </w:p>
    <w:p w:rsidR="00045A9A" w:rsidRPr="002F62E6" w:rsidRDefault="00045A9A" w:rsidP="00045A9A">
      <w:pPr>
        <w:spacing w:before="0" w:after="0"/>
      </w:pPr>
      <w:r>
        <w:t>1</w:t>
      </w:r>
      <w:r w:rsidRPr="002F62E6">
        <w:t xml:space="preserve">.1. pasažieru kustībā </w:t>
      </w:r>
      <w:r>
        <w:t>–</w:t>
      </w:r>
      <w:r w:rsidRPr="002F62E6">
        <w:t xml:space="preserve"> </w:t>
      </w:r>
      <w:r>
        <w:t>laika starpību</w:t>
      </w:r>
      <w:r w:rsidRPr="002F62E6">
        <w:t xml:space="preserve"> starp </w:t>
      </w:r>
      <w:r w:rsidRPr="002F62E6">
        <w:rPr>
          <w:rFonts w:eastAsia="Times New Roman"/>
          <w:color w:val="000000"/>
          <w:lang w:eastAsia="lv-LV"/>
        </w:rPr>
        <w:t>tīkla darbības uzlabošanas shēmas 9.punktā norādīto uzskaites pamata dokumentu</w:t>
      </w:r>
      <w:r w:rsidRPr="002F62E6">
        <w:t xml:space="preserve"> un:</w:t>
      </w:r>
    </w:p>
    <w:p w:rsidR="00045A9A" w:rsidRPr="002F62E6" w:rsidRDefault="00045A9A" w:rsidP="00045A9A">
      <w:pPr>
        <w:spacing w:before="0" w:after="0"/>
        <w:ind w:left="720"/>
        <w:rPr>
          <w:rFonts w:eastAsia="Times New Roman"/>
          <w:color w:val="000000"/>
          <w:lang w:eastAsia="lv-LV"/>
        </w:rPr>
      </w:pPr>
      <w:r>
        <w:t xml:space="preserve">1.1.1. faktisko laiku, kad </w:t>
      </w:r>
      <w:r w:rsidRPr="002F62E6">
        <w:rPr>
          <w:rFonts w:eastAsia="Times New Roman"/>
          <w:color w:val="000000"/>
          <w:lang w:eastAsia="lv-LV"/>
        </w:rPr>
        <w:t>vilciens ir nosūtīts</w:t>
      </w:r>
      <w:r>
        <w:rPr>
          <w:rFonts w:eastAsia="Times New Roman"/>
          <w:color w:val="000000"/>
          <w:lang w:eastAsia="lv-LV"/>
        </w:rPr>
        <w:t>, ja tā pārsniedz 3 minūtes;</w:t>
      </w:r>
    </w:p>
    <w:p w:rsidR="00045A9A" w:rsidRDefault="00045A9A" w:rsidP="00045A9A">
      <w:pPr>
        <w:spacing w:before="0" w:after="0"/>
        <w:ind w:left="720"/>
        <w:rPr>
          <w:rFonts w:eastAsia="Times New Roman"/>
          <w:color w:val="000000"/>
          <w:szCs w:val="24"/>
          <w:lang w:eastAsia="lv-LV"/>
        </w:rPr>
      </w:pPr>
      <w:r>
        <w:rPr>
          <w:rFonts w:eastAsia="Times New Roman"/>
          <w:color w:val="000000"/>
          <w:lang w:eastAsia="lv-LV"/>
        </w:rPr>
        <w:t>1</w:t>
      </w:r>
      <w:r w:rsidRPr="002F62E6">
        <w:rPr>
          <w:rFonts w:eastAsia="Times New Roman"/>
          <w:color w:val="000000"/>
          <w:lang w:eastAsia="lv-LV"/>
        </w:rPr>
        <w:t>.1.2. faktisko vilciena pienākšanas laiku gala stacijā</w:t>
      </w:r>
      <w:r>
        <w:rPr>
          <w:rFonts w:eastAsia="Times New Roman"/>
          <w:color w:val="000000"/>
          <w:sz w:val="20"/>
          <w:szCs w:val="20"/>
          <w:lang w:eastAsia="lv-LV"/>
        </w:rPr>
        <w:t xml:space="preserve">, </w:t>
      </w:r>
      <w:r w:rsidRPr="00101BB8">
        <w:rPr>
          <w:rFonts w:eastAsia="Times New Roman"/>
          <w:color w:val="000000"/>
          <w:szCs w:val="24"/>
          <w:lang w:eastAsia="lv-LV"/>
        </w:rPr>
        <w:t>ja tā pārsniedz 6 minūtes;</w:t>
      </w:r>
    </w:p>
    <w:p w:rsidR="00045A9A" w:rsidRPr="002F62E6" w:rsidRDefault="00045A9A" w:rsidP="00045A9A">
      <w:pPr>
        <w:spacing w:before="0" w:after="0"/>
        <w:ind w:left="720"/>
        <w:rPr>
          <w:rFonts w:eastAsia="Times New Roman"/>
          <w:color w:val="000000"/>
          <w:lang w:eastAsia="lv-LV"/>
        </w:rPr>
      </w:pPr>
      <w:r w:rsidRPr="002F62E6">
        <w:rPr>
          <w:rFonts w:eastAsia="Times New Roman"/>
          <w:color w:val="000000"/>
          <w:sz w:val="20"/>
          <w:szCs w:val="20"/>
          <w:lang w:eastAsia="lv-LV"/>
        </w:rPr>
        <w:t xml:space="preserve"> </w:t>
      </w:r>
    </w:p>
    <w:p w:rsidR="00045A9A" w:rsidRDefault="00045A9A" w:rsidP="00045A9A">
      <w:pPr>
        <w:spacing w:before="0" w:after="0"/>
      </w:pPr>
      <w:r>
        <w:rPr>
          <w:rFonts w:eastAsia="Times New Roman"/>
          <w:color w:val="000000"/>
          <w:lang w:eastAsia="lv-LV"/>
        </w:rPr>
        <w:t>1.2</w:t>
      </w:r>
      <w:r w:rsidRPr="002F62E6">
        <w:rPr>
          <w:rFonts w:eastAsia="Times New Roman"/>
          <w:color w:val="000000"/>
          <w:lang w:eastAsia="lv-LV"/>
        </w:rPr>
        <w:t xml:space="preserve">. kravu kustībā pa dzelzceļa infrastruktūru, kas nodrošina vilcienu </w:t>
      </w:r>
      <w:r>
        <w:t>pieņemšanu, caurlaišanu un nosūtīšanu</w:t>
      </w:r>
      <w:r w:rsidRPr="002F62E6">
        <w:rPr>
          <w:rFonts w:eastAsia="Times New Roman"/>
          <w:color w:val="000000"/>
          <w:lang w:eastAsia="lv-LV"/>
        </w:rPr>
        <w:t xml:space="preserve"> </w:t>
      </w:r>
      <w:r>
        <w:rPr>
          <w:rFonts w:eastAsia="Times New Roman"/>
          <w:color w:val="000000"/>
          <w:lang w:eastAsia="lv-LV"/>
        </w:rPr>
        <w:t>–</w:t>
      </w:r>
      <w:r w:rsidRPr="002F62E6">
        <w:rPr>
          <w:rFonts w:eastAsia="Times New Roman"/>
          <w:color w:val="000000"/>
          <w:lang w:eastAsia="lv-LV"/>
        </w:rPr>
        <w:t xml:space="preserve"> </w:t>
      </w:r>
      <w:r>
        <w:t xml:space="preserve">laika starpību starp </w:t>
      </w:r>
      <w:r w:rsidRPr="002F62E6">
        <w:rPr>
          <w:rFonts w:eastAsia="Times New Roman"/>
          <w:color w:val="000000"/>
          <w:lang w:eastAsia="lv-LV"/>
        </w:rPr>
        <w:t>tīkla darbības uzlabošanas shēmas 9.punktā norādīto uzskaites pamata dokumentu</w:t>
      </w:r>
      <w:r>
        <w:t xml:space="preserve"> un:</w:t>
      </w:r>
    </w:p>
    <w:p w:rsidR="00045A9A" w:rsidRPr="002F62E6" w:rsidRDefault="00045A9A" w:rsidP="00045A9A">
      <w:pPr>
        <w:spacing w:before="0" w:after="0"/>
        <w:ind w:left="720"/>
        <w:rPr>
          <w:rFonts w:eastAsia="Times New Roman"/>
          <w:color w:val="000000"/>
          <w:lang w:eastAsia="lv-LV"/>
        </w:rPr>
      </w:pPr>
      <w:r>
        <w:t xml:space="preserve">1.2.1. faktisko laiku, kad </w:t>
      </w:r>
      <w:r>
        <w:rPr>
          <w:rFonts w:eastAsia="Times New Roman"/>
          <w:color w:val="000000"/>
          <w:lang w:eastAsia="lv-LV"/>
        </w:rPr>
        <w:t>vilciens ir nosūtīts, ja tā pārsniedz 15 minūtes;</w:t>
      </w:r>
    </w:p>
    <w:p w:rsidR="00045A9A" w:rsidRPr="002F62E6" w:rsidRDefault="00045A9A" w:rsidP="00045A9A">
      <w:pPr>
        <w:spacing w:before="0" w:after="0"/>
        <w:ind w:left="720"/>
        <w:rPr>
          <w:rFonts w:eastAsia="Times New Roman"/>
          <w:color w:val="000000"/>
          <w:lang w:eastAsia="lv-LV"/>
        </w:rPr>
      </w:pPr>
      <w:r>
        <w:rPr>
          <w:rFonts w:eastAsia="Times New Roman"/>
          <w:color w:val="000000"/>
          <w:lang w:eastAsia="lv-LV"/>
        </w:rPr>
        <w:t>1</w:t>
      </w:r>
      <w:r w:rsidRPr="002F62E6">
        <w:rPr>
          <w:rFonts w:eastAsia="Times New Roman"/>
          <w:color w:val="000000"/>
          <w:lang w:eastAsia="lv-LV"/>
        </w:rPr>
        <w:t>.2.2. faktisko gaitas laiku ceļa pos</w:t>
      </w:r>
      <w:r>
        <w:rPr>
          <w:rFonts w:eastAsia="Times New Roman"/>
          <w:color w:val="000000"/>
          <w:lang w:eastAsia="lv-LV"/>
        </w:rPr>
        <w:t>mā, ja tā pārsniedz 1 minūti/posmā;</w:t>
      </w:r>
    </w:p>
    <w:p w:rsidR="00045A9A" w:rsidRPr="002F62E6" w:rsidRDefault="00045A9A" w:rsidP="00045A9A">
      <w:pPr>
        <w:spacing w:before="0" w:after="0"/>
        <w:ind w:left="720"/>
        <w:rPr>
          <w:rFonts w:eastAsia="Times New Roman"/>
          <w:color w:val="000000"/>
          <w:lang w:eastAsia="lv-LV"/>
        </w:rPr>
      </w:pPr>
      <w:r>
        <w:rPr>
          <w:rFonts w:eastAsia="Times New Roman"/>
          <w:color w:val="000000"/>
          <w:lang w:eastAsia="lv-LV"/>
        </w:rPr>
        <w:t>1</w:t>
      </w:r>
      <w:r w:rsidRPr="002F62E6">
        <w:rPr>
          <w:rFonts w:eastAsia="Times New Roman"/>
          <w:color w:val="000000"/>
          <w:lang w:eastAsia="lv-LV"/>
        </w:rPr>
        <w:t>.2.3. faktisko vilciena pienākšanas laiku gala stacijā</w:t>
      </w:r>
      <w:r>
        <w:rPr>
          <w:rFonts w:eastAsia="Times New Roman"/>
          <w:color w:val="000000"/>
          <w:lang w:eastAsia="lv-LV"/>
        </w:rPr>
        <w:t>, ja tā pārsniedz 15 minūtes;</w:t>
      </w:r>
    </w:p>
    <w:p w:rsidR="00045A9A" w:rsidRDefault="00045A9A" w:rsidP="00045A9A">
      <w:pPr>
        <w:spacing w:before="0" w:after="0"/>
        <w:ind w:firstLine="720"/>
      </w:pPr>
      <w:r>
        <w:rPr>
          <w:rFonts w:eastAsia="Times New Roman" w:cs="Times New Roman"/>
          <w:color w:val="000000"/>
          <w:szCs w:val="24"/>
          <w:lang w:eastAsia="lv-LV"/>
        </w:rPr>
        <w:t>1</w:t>
      </w:r>
      <w:r w:rsidRPr="002F62E6">
        <w:rPr>
          <w:rFonts w:eastAsia="Times New Roman" w:cs="Times New Roman"/>
          <w:color w:val="000000"/>
          <w:szCs w:val="24"/>
          <w:lang w:eastAsia="lv-LV"/>
        </w:rPr>
        <w:t xml:space="preserve">.2.4. </w:t>
      </w:r>
      <w:r>
        <w:t>laika starpību starp staciju tehnoloģiskos dokumentos (staciju Tehniskās rīcības aktos) norādīto laiku vagonu un vilciensastāvu atrašanos uz pieņemšanas – nosūtīšanas ceļiem un laiku, kurā vilciens ir saformēts, ja tā pārsniedz 60 minūtes;</w:t>
      </w:r>
    </w:p>
    <w:p w:rsidR="00045A9A" w:rsidRPr="00E012A9" w:rsidRDefault="00045A9A" w:rsidP="00045A9A">
      <w:pPr>
        <w:spacing w:before="0" w:after="0"/>
        <w:ind w:firstLine="720"/>
      </w:pPr>
    </w:p>
    <w:p w:rsidR="00045A9A" w:rsidRDefault="00045A9A" w:rsidP="00045A9A">
      <w:pPr>
        <w:spacing w:before="0" w:after="0"/>
      </w:pPr>
      <w:r>
        <w:rPr>
          <w:rFonts w:eastAsia="Times New Roman" w:cs="Times New Roman"/>
          <w:color w:val="000000"/>
          <w:szCs w:val="24"/>
          <w:lang w:eastAsia="lv-LV"/>
        </w:rPr>
        <w:t>1</w:t>
      </w:r>
      <w:r w:rsidRPr="002F62E6">
        <w:rPr>
          <w:rFonts w:eastAsia="Times New Roman" w:cs="Times New Roman"/>
          <w:color w:val="000000"/>
          <w:szCs w:val="24"/>
          <w:lang w:eastAsia="lv-LV"/>
        </w:rPr>
        <w:t xml:space="preserve">.3. kravu kustībā pa </w:t>
      </w:r>
      <w:r>
        <w:t xml:space="preserve">dzelzceļa infrastruktūru, kas nodrošina piekļuvi dzelzceļa infrastruktūrai, kas savieno to ar apkalpes vietām, kurās notiek kravas vilcienu saformēšana un izformēšana un ritošā sastāva pārvietošana iekraušanai, izkraušanai vai uz saistītiem pievedceļiem – laika </w:t>
      </w:r>
      <w:r>
        <w:lastRenderedPageBreak/>
        <w:t>starpība starp staciju tehnoloģiskos dokumentos (staciju Tehniskās rīcības aktos) norādīto laiku konkrētai operācijai un faktisko laiku, kurā šāda operācija tika veikta, tajā skaitā:</w:t>
      </w:r>
    </w:p>
    <w:p w:rsidR="00045A9A" w:rsidRPr="00101BB8" w:rsidRDefault="00045A9A" w:rsidP="00045A9A">
      <w:pPr>
        <w:spacing w:before="0" w:after="0"/>
        <w:ind w:left="425" w:firstLine="425"/>
      </w:pPr>
      <w:r w:rsidRPr="00101BB8">
        <w:t>1.3.1. šķirošanas ce</w:t>
      </w:r>
      <w:r>
        <w:t>ļos, ja tā pārsniedz 60 minūtes;</w:t>
      </w:r>
    </w:p>
    <w:p w:rsidR="00045A9A" w:rsidRDefault="00045A9A" w:rsidP="00045A9A">
      <w:pPr>
        <w:spacing w:before="0" w:after="0"/>
        <w:ind w:left="425" w:firstLine="425"/>
      </w:pPr>
      <w:r w:rsidRPr="00A942AC">
        <w:t>1.3.2. stāvēšanas</w:t>
      </w:r>
      <w:r>
        <w:t xml:space="preserve"> ceļos</w:t>
      </w:r>
      <w:r w:rsidRPr="00A942AC">
        <w:t>, ja tā pārsniedz diennakti</w:t>
      </w:r>
      <w:r>
        <w:t>.</w:t>
      </w:r>
    </w:p>
    <w:p w:rsidR="00045A9A" w:rsidRPr="00A942AC" w:rsidRDefault="00045A9A" w:rsidP="00045A9A">
      <w:pPr>
        <w:spacing w:before="0" w:after="0"/>
        <w:ind w:left="425" w:firstLine="425"/>
      </w:pPr>
    </w:p>
    <w:p w:rsidR="00045A9A" w:rsidRDefault="00045A9A" w:rsidP="00045A9A">
      <w:pPr>
        <w:spacing w:before="0" w:after="0"/>
      </w:pPr>
      <w:r>
        <w:rPr>
          <w:rFonts w:cs="Times New Roman"/>
          <w:szCs w:val="24"/>
        </w:rPr>
        <w:t xml:space="preserve">2. Ja kavējums pārsniedz 1.punktā noteikto pieļaujamo robežu, </w:t>
      </w:r>
      <w:r w:rsidRPr="004745BF">
        <w:rPr>
          <w:rFonts w:cs="Times New Roman"/>
          <w:szCs w:val="24"/>
        </w:rPr>
        <w:t xml:space="preserve">kavējumu </w:t>
      </w:r>
      <w:r>
        <w:rPr>
          <w:rFonts w:cs="Times New Roman"/>
          <w:szCs w:val="24"/>
        </w:rPr>
        <w:t xml:space="preserve">attiecina uz </w:t>
      </w:r>
      <w:r>
        <w:t xml:space="preserve">Ministru kabineta 2016.gada 15.jūlija noteikumu Nr.471 "Noteikumi par dzelzceļa tīklā piemērojamiem darbības uzlabošanas shēmas pamatprincipiem" (turpmāk – Tīkla darbības shēma) pielikumā </w:t>
      </w:r>
      <w:r>
        <w:rPr>
          <w:rFonts w:cs="Times New Roman"/>
          <w:szCs w:val="24"/>
        </w:rPr>
        <w:t>norādītājām kavējumu grupām un apakšgrupām</w:t>
      </w:r>
      <w:r>
        <w:t xml:space="preserve">. </w:t>
      </w:r>
    </w:p>
    <w:p w:rsidR="00045A9A" w:rsidRDefault="00045A9A" w:rsidP="00045A9A">
      <w:pPr>
        <w:spacing w:before="0" w:after="0"/>
      </w:pPr>
    </w:p>
    <w:p w:rsidR="00045A9A" w:rsidRPr="001D5395" w:rsidRDefault="00045A9A" w:rsidP="00045A9A">
      <w:pPr>
        <w:pStyle w:val="ListParagraph"/>
        <w:numPr>
          <w:ilvl w:val="0"/>
          <w:numId w:val="2"/>
        </w:numPr>
        <w:shd w:val="clear" w:color="auto" w:fill="FFFFFF"/>
        <w:spacing w:after="0" w:line="293" w:lineRule="atLeast"/>
        <w:rPr>
          <w:lang w:val="lv-LV"/>
        </w:rPr>
      </w:pPr>
      <w:r w:rsidRPr="001D5395">
        <w:rPr>
          <w:lang w:val="lv-LV"/>
        </w:rPr>
        <w:t xml:space="preserve">Nosakot </w:t>
      </w:r>
      <w:r w:rsidRPr="00612ABB">
        <w:rPr>
          <w:lang w:val="lv-LV"/>
        </w:rPr>
        <w:t>Tīkla darbības shēma</w:t>
      </w:r>
      <w:r>
        <w:rPr>
          <w:lang w:val="lv-LV"/>
        </w:rPr>
        <w:t>s pielikumā minētos kavējumu cēloņus</w:t>
      </w:r>
      <w:r w:rsidRPr="001D5395">
        <w:rPr>
          <w:lang w:val="lv-LV"/>
        </w:rPr>
        <w:t>, pieņem, ka:</w:t>
      </w:r>
    </w:p>
    <w:p w:rsidR="00045A9A" w:rsidRDefault="00045A9A" w:rsidP="00045A9A">
      <w:pPr>
        <w:shd w:val="clear" w:color="auto" w:fill="FFFFFF"/>
        <w:spacing w:before="0" w:after="0" w:line="293" w:lineRule="atLeast"/>
        <w:ind w:firstLine="720"/>
      </w:pPr>
      <w:r>
        <w:t xml:space="preserve">3.1. </w:t>
      </w:r>
      <w:r w:rsidRPr="00612ABB">
        <w:t>Tīkla darbības shēma</w:t>
      </w:r>
      <w:r>
        <w:t>s pielikuma 1.2.apakšpunkta </w:t>
      </w:r>
      <w:r w:rsidRPr="00DC54AB">
        <w:t xml:space="preserve">cēloni </w:t>
      </w:r>
      <w:r w:rsidRPr="00DC54AB">
        <w:rPr>
          <w:rFonts w:cs="Times New Roman"/>
          <w:szCs w:val="24"/>
        </w:rPr>
        <w:t>a</w:t>
      </w:r>
      <w:r>
        <w:t xml:space="preserve">ttiecina uz infrastruktūras pārvaldītāju, ja dzelzceļa </w:t>
      </w:r>
      <w:r>
        <w:rPr>
          <w:rFonts w:cs="Times New Roman"/>
          <w:szCs w:val="24"/>
        </w:rPr>
        <w:t>infrastruktūrā</w:t>
      </w:r>
      <w:r w:rsidRPr="00DC54AB">
        <w:rPr>
          <w:rFonts w:cs="Times New Roman"/>
          <w:szCs w:val="24"/>
        </w:rPr>
        <w:t xml:space="preserve"> vilciena sastāvu veido apka</w:t>
      </w:r>
      <w:r>
        <w:t>lpes vietas operators, kas ir arī infrastruktūras pārvaldītājs;</w:t>
      </w:r>
    </w:p>
    <w:p w:rsidR="00045A9A" w:rsidRDefault="00045A9A" w:rsidP="00045A9A">
      <w:pPr>
        <w:shd w:val="clear" w:color="auto" w:fill="FFFFFF"/>
        <w:spacing w:before="0" w:after="0" w:line="293" w:lineRule="atLeast"/>
        <w:ind w:firstLine="720"/>
      </w:pPr>
      <w:r>
        <w:t xml:space="preserve">3.2. </w:t>
      </w:r>
      <w:r w:rsidRPr="00612ABB">
        <w:t>Tīkla darbības shēma</w:t>
      </w:r>
      <w:r>
        <w:t xml:space="preserve">s pielikuma 1.3.apakšpunkta </w:t>
      </w:r>
      <w:r w:rsidRPr="001D5395">
        <w:t xml:space="preserve">cēloni attiecina uz jaudas sadalītāju, ja nav savlaicīgi </w:t>
      </w:r>
      <w:r>
        <w:t>iedalīts vilcienu ceļš vai nav ievērota operatīvā</w:t>
      </w:r>
      <w:r w:rsidRPr="001D5395">
        <w:t>s jaudas sadales procedūra, pā</w:t>
      </w:r>
      <w:r>
        <w:t xml:space="preserve">rējos ekspluatācijas gadījumos – </w:t>
      </w:r>
      <w:r w:rsidRPr="001D5395">
        <w:t>attiecina uz infrastruktūras pārvaldītāju;</w:t>
      </w:r>
    </w:p>
    <w:p w:rsidR="00045A9A" w:rsidRPr="001D5395" w:rsidRDefault="00045A9A" w:rsidP="00045A9A">
      <w:pPr>
        <w:shd w:val="clear" w:color="auto" w:fill="FFFFFF"/>
        <w:spacing w:before="0" w:after="0" w:line="293" w:lineRule="atLeast"/>
        <w:ind w:firstLine="720"/>
      </w:pPr>
      <w:r>
        <w:t xml:space="preserve">3.3. </w:t>
      </w:r>
      <w:r w:rsidRPr="00612ABB">
        <w:t>Tīkla darbības shēma</w:t>
      </w:r>
      <w:r>
        <w:t>s pielikuma 1.4.</w:t>
      </w:r>
      <w:r w:rsidRPr="000D31D5">
        <w:t xml:space="preserve"> </w:t>
      </w:r>
      <w:r>
        <w:t>apakšpunkta</w:t>
      </w:r>
      <w:r w:rsidRPr="001D5395">
        <w:t xml:space="preserve"> cēloni attiecina uz jaudas sadalītāju;</w:t>
      </w:r>
    </w:p>
    <w:p w:rsidR="00045A9A" w:rsidRPr="001D5395" w:rsidRDefault="00045A9A" w:rsidP="00045A9A">
      <w:pPr>
        <w:shd w:val="clear" w:color="auto" w:fill="FFFFFF"/>
        <w:spacing w:before="0" w:after="0" w:line="293" w:lineRule="atLeast"/>
        <w:ind w:firstLine="720"/>
      </w:pPr>
      <w:r>
        <w:t xml:space="preserve">3.4. </w:t>
      </w:r>
      <w:r w:rsidRPr="001D5395">
        <w:t xml:space="preserve">ja kavējums ir noticis </w:t>
      </w:r>
      <w:r>
        <w:t xml:space="preserve">dzelzceļa </w:t>
      </w:r>
      <w:r w:rsidRPr="001D5395">
        <w:t xml:space="preserve">infrastruktūras kvalitātes dēļ (tiek samazināta </w:t>
      </w:r>
      <w:r>
        <w:t xml:space="preserve">dzelzceļa infrastruktūras </w:t>
      </w:r>
      <w:r w:rsidRPr="001D5395">
        <w:t>tīkla pārskatā norādītā caurlaišanas spēja: ātrums, pieļaujamā ass slodze vai vilciena garums)</w:t>
      </w:r>
      <w:r>
        <w:t>, to</w:t>
      </w:r>
      <w:r w:rsidRPr="001D5395">
        <w:t xml:space="preserve"> attiecina uz visu </w:t>
      </w:r>
      <w:r w:rsidRPr="00612ABB">
        <w:t>Tīkla darbības shēma</w:t>
      </w:r>
      <w:r>
        <w:t>s pielikuma 2.punktā minēto </w:t>
      </w:r>
      <w:r w:rsidRPr="001D5395">
        <w:t xml:space="preserve">kavējumu cēloņu grupu, neatšifrējot; </w:t>
      </w:r>
    </w:p>
    <w:p w:rsidR="00045A9A" w:rsidRDefault="00045A9A" w:rsidP="00045A9A">
      <w:pPr>
        <w:pStyle w:val="ListParagraph"/>
        <w:shd w:val="clear" w:color="auto" w:fill="FFFFFF"/>
        <w:spacing w:after="0" w:line="293" w:lineRule="atLeast"/>
        <w:ind w:left="0" w:firstLine="720"/>
        <w:jc w:val="both"/>
        <w:rPr>
          <w:lang w:val="lv-LV"/>
        </w:rPr>
      </w:pPr>
      <w:r>
        <w:rPr>
          <w:lang w:val="lv-LV"/>
        </w:rPr>
        <w:t>3.5</w:t>
      </w:r>
      <w:r w:rsidRPr="001D5395">
        <w:rPr>
          <w:lang w:val="lv-LV"/>
        </w:rPr>
        <w:t>.</w:t>
      </w:r>
      <w:r>
        <w:rPr>
          <w:lang w:val="lv-LV"/>
        </w:rPr>
        <w:t xml:space="preserve"> uz </w:t>
      </w:r>
      <w:r w:rsidRPr="00612ABB">
        <w:rPr>
          <w:lang w:val="lv-LV"/>
        </w:rPr>
        <w:t>Tīkla darbības shēma</w:t>
      </w:r>
      <w:r>
        <w:rPr>
          <w:lang w:val="lv-LV"/>
        </w:rPr>
        <w:t xml:space="preserve">s </w:t>
      </w:r>
      <w:r w:rsidRPr="00F973CF">
        <w:rPr>
          <w:lang w:val="lv-LV"/>
        </w:rPr>
        <w:t>pielikuma</w:t>
      </w:r>
      <w:r>
        <w:rPr>
          <w:lang w:val="lv-LV"/>
        </w:rPr>
        <w:t xml:space="preserve"> 3.1.</w:t>
      </w:r>
      <w:r w:rsidRPr="00F973CF">
        <w:rPr>
          <w:lang w:val="lv-LV"/>
        </w:rPr>
        <w:t>apakšpunkta</w:t>
      </w:r>
      <w:r>
        <w:rPr>
          <w:lang w:val="lv-LV"/>
        </w:rPr>
        <w:t xml:space="preserve"> cēloni attiecina tikai </w:t>
      </w:r>
      <w:r w:rsidRPr="001D5395">
        <w:rPr>
          <w:lang w:val="lv-LV"/>
        </w:rPr>
        <w:t>kavējumu gala stacijā pasažieru kustībā un iecirkņa pienākšanas stacijā kravu kustībā</w:t>
      </w:r>
      <w:r>
        <w:rPr>
          <w:lang w:val="lv-LV"/>
        </w:rPr>
        <w:t xml:space="preserve"> gadījumā, ja</w:t>
      </w:r>
      <w:r w:rsidRPr="001D5395">
        <w:rPr>
          <w:lang w:val="lv-LV"/>
        </w:rPr>
        <w:t xml:space="preserve"> </w:t>
      </w:r>
      <w:r>
        <w:rPr>
          <w:lang w:val="lv-LV"/>
        </w:rPr>
        <w:t>tas ir saistīts ar tehnoloģisko</w:t>
      </w:r>
      <w:r w:rsidRPr="001D5395">
        <w:rPr>
          <w:lang w:val="lv-LV"/>
        </w:rPr>
        <w:t xml:space="preserve"> pār</w:t>
      </w:r>
      <w:r>
        <w:rPr>
          <w:lang w:val="lv-LV"/>
        </w:rPr>
        <w:t>traukumu virs jaudas sadalītāja noteiktajā kārtībā paziņotā garuma;</w:t>
      </w:r>
    </w:p>
    <w:p w:rsidR="00045A9A" w:rsidRDefault="00045A9A" w:rsidP="00045A9A">
      <w:pPr>
        <w:pStyle w:val="ListParagraph"/>
        <w:shd w:val="clear" w:color="auto" w:fill="FFFFFF"/>
        <w:spacing w:after="0" w:line="293" w:lineRule="atLeast"/>
        <w:ind w:left="0" w:firstLine="720"/>
        <w:jc w:val="both"/>
        <w:rPr>
          <w:lang w:val="lv-LV"/>
        </w:rPr>
      </w:pPr>
      <w:r>
        <w:rPr>
          <w:lang w:val="lv-LV"/>
        </w:rPr>
        <w:t xml:space="preserve">3.6. uz </w:t>
      </w:r>
      <w:r w:rsidRPr="00612ABB">
        <w:rPr>
          <w:lang w:val="lv-LV"/>
        </w:rPr>
        <w:t>Tīkla darbības shēma</w:t>
      </w:r>
      <w:r>
        <w:rPr>
          <w:lang w:val="lv-LV"/>
        </w:rPr>
        <w:t xml:space="preserve">s </w:t>
      </w:r>
      <w:r w:rsidRPr="00F973CF">
        <w:rPr>
          <w:lang w:val="lv-LV"/>
        </w:rPr>
        <w:t>pielikuma</w:t>
      </w:r>
      <w:r>
        <w:rPr>
          <w:lang w:val="lv-LV"/>
        </w:rPr>
        <w:t xml:space="preserve"> 3.2.</w:t>
      </w:r>
      <w:r w:rsidRPr="00F973CF">
        <w:rPr>
          <w:lang w:val="lv-LV"/>
        </w:rPr>
        <w:t>apakšpunkta</w:t>
      </w:r>
      <w:r>
        <w:rPr>
          <w:lang w:val="lv-LV"/>
        </w:rPr>
        <w:t xml:space="preserve"> cēloni attiecina tikai kavējumu</w:t>
      </w:r>
      <w:r w:rsidRPr="00826C90">
        <w:rPr>
          <w:lang w:val="lv-LV"/>
        </w:rPr>
        <w:t xml:space="preserve"> gala stacijā pasažieru kustībā un iecirkņa pienākšanas stacijā kravu kustībā</w:t>
      </w:r>
      <w:r>
        <w:rPr>
          <w:lang w:val="lv-LV"/>
        </w:rPr>
        <w:t xml:space="preserve">, ja tie ir notikuši saistībā ar to, ka </w:t>
      </w:r>
      <w:r w:rsidRPr="00826C90">
        <w:rPr>
          <w:lang w:val="lv-LV"/>
        </w:rPr>
        <w:t xml:space="preserve">tehnoloģiskais pārtraukums nav paziņots </w:t>
      </w:r>
      <w:r>
        <w:rPr>
          <w:lang w:val="lv-LV"/>
        </w:rPr>
        <w:t xml:space="preserve">jaudas sadalītāja </w:t>
      </w:r>
      <w:r w:rsidRPr="00826C90">
        <w:rPr>
          <w:lang w:val="lv-LV"/>
        </w:rPr>
        <w:t>noteikt</w:t>
      </w:r>
      <w:r>
        <w:rPr>
          <w:lang w:val="lv-LV"/>
        </w:rPr>
        <w:t>aj</w:t>
      </w:r>
      <w:r w:rsidRPr="00826C90">
        <w:rPr>
          <w:lang w:val="lv-LV"/>
        </w:rPr>
        <w:t>ā</w:t>
      </w:r>
      <w:r>
        <w:rPr>
          <w:lang w:val="lv-LV"/>
        </w:rPr>
        <w:t xml:space="preserve"> kārtībā;</w:t>
      </w:r>
    </w:p>
    <w:p w:rsidR="00045A9A" w:rsidRDefault="00045A9A" w:rsidP="00045A9A">
      <w:pPr>
        <w:pStyle w:val="ListParagraph"/>
        <w:shd w:val="clear" w:color="auto" w:fill="FFFFFF"/>
        <w:spacing w:after="0" w:line="293" w:lineRule="atLeast"/>
        <w:ind w:left="0" w:firstLine="720"/>
        <w:jc w:val="both"/>
        <w:rPr>
          <w:lang w:val="lv-LV"/>
        </w:rPr>
      </w:pPr>
      <w:r>
        <w:rPr>
          <w:lang w:val="lv-LV"/>
        </w:rPr>
        <w:t xml:space="preserve">3.7. uz </w:t>
      </w:r>
      <w:r w:rsidRPr="00612ABB">
        <w:rPr>
          <w:lang w:val="lv-LV"/>
        </w:rPr>
        <w:t>Tīkla darbības shēma</w:t>
      </w:r>
      <w:r>
        <w:rPr>
          <w:lang w:val="lv-LV"/>
        </w:rPr>
        <w:t xml:space="preserve">s </w:t>
      </w:r>
      <w:r w:rsidRPr="00F973CF">
        <w:rPr>
          <w:lang w:val="lv-LV"/>
        </w:rPr>
        <w:t>pielikuma</w:t>
      </w:r>
      <w:r>
        <w:rPr>
          <w:lang w:val="lv-LV"/>
        </w:rPr>
        <w:t xml:space="preserve"> 3.3.</w:t>
      </w:r>
      <w:r w:rsidRPr="00F973CF">
        <w:rPr>
          <w:lang w:val="lv-LV"/>
        </w:rPr>
        <w:t>apakšpunkta</w:t>
      </w:r>
      <w:r>
        <w:rPr>
          <w:lang w:val="lv-LV"/>
        </w:rPr>
        <w:t xml:space="preserve"> cēloni attiecina tikai </w:t>
      </w:r>
      <w:r w:rsidRPr="001D5395">
        <w:rPr>
          <w:lang w:val="lv-LV"/>
        </w:rPr>
        <w:t>kavējumu gala stacijā pasažieru kustībā un iecirkņa pienākšanas stacijā kravu kustībā</w:t>
      </w:r>
      <w:r>
        <w:rPr>
          <w:lang w:val="lv-LV"/>
        </w:rPr>
        <w:t>, ja</w:t>
      </w:r>
      <w:r w:rsidRPr="001D5395">
        <w:rPr>
          <w:lang w:val="lv-LV"/>
        </w:rPr>
        <w:t xml:space="preserve"> </w:t>
      </w:r>
      <w:r>
        <w:rPr>
          <w:lang w:val="lv-LV"/>
        </w:rPr>
        <w:t>tas ir saistīts ar tehnoloģiskiem ierobežojumiem virs jaudas sadalītāja noteiktajā kārtībā paziņotā ilguma;</w:t>
      </w:r>
    </w:p>
    <w:p w:rsidR="00045A9A" w:rsidRDefault="00045A9A" w:rsidP="00045A9A">
      <w:pPr>
        <w:pStyle w:val="ListParagraph"/>
        <w:shd w:val="clear" w:color="auto" w:fill="FFFFFF"/>
        <w:spacing w:after="0" w:line="293" w:lineRule="atLeast"/>
        <w:ind w:left="0" w:firstLine="720"/>
        <w:jc w:val="both"/>
        <w:rPr>
          <w:lang w:val="lv-LV"/>
        </w:rPr>
      </w:pPr>
      <w:r>
        <w:rPr>
          <w:lang w:val="lv-LV"/>
        </w:rPr>
        <w:t xml:space="preserve">3.8. uz </w:t>
      </w:r>
      <w:r w:rsidRPr="00612ABB">
        <w:rPr>
          <w:lang w:val="lv-LV"/>
        </w:rPr>
        <w:t>Tīkla darbības shēma</w:t>
      </w:r>
      <w:r>
        <w:rPr>
          <w:lang w:val="lv-LV"/>
        </w:rPr>
        <w:t xml:space="preserve">s </w:t>
      </w:r>
      <w:r w:rsidRPr="00F973CF">
        <w:rPr>
          <w:lang w:val="lv-LV"/>
        </w:rPr>
        <w:t>pielikuma</w:t>
      </w:r>
      <w:r>
        <w:rPr>
          <w:lang w:val="lv-LV"/>
        </w:rPr>
        <w:t xml:space="preserve"> 4.1.</w:t>
      </w:r>
      <w:r w:rsidRPr="00F973CF">
        <w:rPr>
          <w:lang w:val="lv-LV"/>
        </w:rPr>
        <w:t>apakšpunkta</w:t>
      </w:r>
      <w:r>
        <w:rPr>
          <w:lang w:val="lv-LV"/>
        </w:rPr>
        <w:t xml:space="preserve"> cēloni attiecina kavējumus, ja </w:t>
      </w:r>
      <w:r w:rsidRPr="00826C90">
        <w:rPr>
          <w:lang w:val="lv-LV"/>
        </w:rPr>
        <w:t xml:space="preserve">starptautiskās kustības vilciens pieņemts </w:t>
      </w:r>
      <w:r>
        <w:rPr>
          <w:lang w:val="lv-LV"/>
        </w:rPr>
        <w:t xml:space="preserve">dzelzceļa </w:t>
      </w:r>
      <w:r w:rsidRPr="00826C90">
        <w:rPr>
          <w:lang w:val="lv-LV"/>
        </w:rPr>
        <w:t>tīklā ar aizkavēšanos</w:t>
      </w:r>
      <w:r>
        <w:rPr>
          <w:lang w:val="lv-LV"/>
        </w:rPr>
        <w:t>;</w:t>
      </w:r>
    </w:p>
    <w:p w:rsidR="00045A9A" w:rsidRDefault="00045A9A" w:rsidP="00045A9A">
      <w:pPr>
        <w:pStyle w:val="ListParagraph"/>
        <w:shd w:val="clear" w:color="auto" w:fill="FFFFFF"/>
        <w:spacing w:after="0" w:line="293" w:lineRule="atLeast"/>
        <w:ind w:left="0" w:firstLine="720"/>
        <w:jc w:val="both"/>
        <w:rPr>
          <w:lang w:val="lv-LV"/>
        </w:rPr>
      </w:pPr>
      <w:r>
        <w:rPr>
          <w:lang w:val="lv-LV"/>
        </w:rPr>
        <w:t xml:space="preserve">3.9. uz </w:t>
      </w:r>
      <w:r w:rsidRPr="00612ABB">
        <w:rPr>
          <w:lang w:val="lv-LV"/>
        </w:rPr>
        <w:t>Tīkla darbības shēma</w:t>
      </w:r>
      <w:r>
        <w:rPr>
          <w:lang w:val="lv-LV"/>
        </w:rPr>
        <w:t xml:space="preserve">s </w:t>
      </w:r>
      <w:r w:rsidRPr="00F973CF">
        <w:rPr>
          <w:lang w:val="lv-LV"/>
        </w:rPr>
        <w:t>pielikuma</w:t>
      </w:r>
      <w:r>
        <w:rPr>
          <w:lang w:val="lv-LV"/>
        </w:rPr>
        <w:t xml:space="preserve"> 4.2.</w:t>
      </w:r>
      <w:r w:rsidRPr="00F973CF">
        <w:rPr>
          <w:lang w:val="lv-LV"/>
        </w:rPr>
        <w:t>apakšpunkta</w:t>
      </w:r>
      <w:r>
        <w:rPr>
          <w:lang w:val="lv-LV"/>
        </w:rPr>
        <w:t xml:space="preserve"> cēloni attiecina kavējumus, ja </w:t>
      </w:r>
      <w:r w:rsidRPr="00826C90">
        <w:rPr>
          <w:lang w:val="lv-LV"/>
        </w:rPr>
        <w:t xml:space="preserve">starptautiskās kustības </w:t>
      </w:r>
      <w:r>
        <w:rPr>
          <w:lang w:val="lv-LV"/>
        </w:rPr>
        <w:t>vilcienu nepieņem nākošajā dzelzceļa tīklā;</w:t>
      </w:r>
    </w:p>
    <w:p w:rsidR="00045A9A" w:rsidRDefault="00045A9A" w:rsidP="00045A9A">
      <w:pPr>
        <w:pStyle w:val="ListParagraph"/>
        <w:shd w:val="clear" w:color="auto" w:fill="FFFFFF"/>
        <w:spacing w:after="0" w:line="293" w:lineRule="atLeast"/>
        <w:ind w:left="0" w:firstLine="720"/>
        <w:jc w:val="both"/>
        <w:rPr>
          <w:lang w:val="lv-LV"/>
        </w:rPr>
      </w:pPr>
      <w:r>
        <w:rPr>
          <w:lang w:val="lv-LV"/>
        </w:rPr>
        <w:t xml:space="preserve">3.10. uz </w:t>
      </w:r>
      <w:r w:rsidRPr="00612ABB">
        <w:rPr>
          <w:lang w:val="lv-LV"/>
        </w:rPr>
        <w:t>Tīkla darbības shēma</w:t>
      </w:r>
      <w:r>
        <w:rPr>
          <w:lang w:val="lv-LV"/>
        </w:rPr>
        <w:t xml:space="preserve">s </w:t>
      </w:r>
      <w:r w:rsidRPr="00F973CF">
        <w:rPr>
          <w:lang w:val="lv-LV"/>
        </w:rPr>
        <w:t>pielikuma</w:t>
      </w:r>
      <w:r>
        <w:rPr>
          <w:lang w:val="lv-LV"/>
        </w:rPr>
        <w:t xml:space="preserve"> 5.1.</w:t>
      </w:r>
      <w:r w:rsidRPr="00F973CF">
        <w:rPr>
          <w:lang w:val="lv-LV"/>
        </w:rPr>
        <w:t>apakšpunkta</w:t>
      </w:r>
      <w:r>
        <w:rPr>
          <w:lang w:val="lv-LV"/>
        </w:rPr>
        <w:t xml:space="preserve"> cēloni attiecina kavējumus, </w:t>
      </w:r>
      <w:r w:rsidRPr="00BA0D90">
        <w:rPr>
          <w:lang w:val="lv-LV"/>
        </w:rPr>
        <w:t xml:space="preserve">ja gatava vilciena </w:t>
      </w:r>
      <w:r>
        <w:rPr>
          <w:lang w:val="lv-LV"/>
        </w:rPr>
        <w:t>nosūtīšana</w:t>
      </w:r>
      <w:r w:rsidRPr="00BA0D90">
        <w:rPr>
          <w:lang w:val="lv-LV"/>
        </w:rPr>
        <w:t xml:space="preserve"> no starpstacijas ir kavēta dzelzceļa pārvadātāja </w:t>
      </w:r>
      <w:r>
        <w:rPr>
          <w:lang w:val="lv-LV"/>
        </w:rPr>
        <w:t>dēļ;</w:t>
      </w:r>
    </w:p>
    <w:p w:rsidR="00045A9A" w:rsidRDefault="00045A9A" w:rsidP="00045A9A">
      <w:pPr>
        <w:pStyle w:val="ListParagraph"/>
        <w:shd w:val="clear" w:color="auto" w:fill="FFFFFF"/>
        <w:spacing w:after="0" w:line="293" w:lineRule="atLeast"/>
        <w:ind w:left="0" w:firstLine="720"/>
        <w:jc w:val="both"/>
        <w:rPr>
          <w:lang w:val="lv-LV"/>
        </w:rPr>
      </w:pPr>
      <w:r>
        <w:rPr>
          <w:lang w:val="lv-LV"/>
        </w:rPr>
        <w:t xml:space="preserve">3.11. uz </w:t>
      </w:r>
      <w:r w:rsidRPr="00612ABB">
        <w:rPr>
          <w:lang w:val="lv-LV"/>
        </w:rPr>
        <w:t>Tīkla darbības shēma</w:t>
      </w:r>
      <w:r>
        <w:rPr>
          <w:lang w:val="lv-LV"/>
        </w:rPr>
        <w:t xml:space="preserve">s </w:t>
      </w:r>
      <w:r w:rsidRPr="00F973CF">
        <w:rPr>
          <w:lang w:val="lv-LV"/>
        </w:rPr>
        <w:t>pielikuma</w:t>
      </w:r>
      <w:r>
        <w:rPr>
          <w:lang w:val="lv-LV"/>
        </w:rPr>
        <w:t xml:space="preserve"> 5.2.</w:t>
      </w:r>
      <w:r w:rsidRPr="00F973CF">
        <w:rPr>
          <w:lang w:val="lv-LV"/>
        </w:rPr>
        <w:t>apakšpunkta</w:t>
      </w:r>
      <w:r>
        <w:rPr>
          <w:lang w:val="lv-LV"/>
        </w:rPr>
        <w:t xml:space="preserve"> cēloni attiecina kavējumus, ja</w:t>
      </w:r>
      <w:r w:rsidRPr="00BA0D90">
        <w:rPr>
          <w:lang w:val="lv-LV"/>
        </w:rPr>
        <w:t xml:space="preserve"> vilciena sastāvu</w:t>
      </w:r>
      <w:r>
        <w:rPr>
          <w:lang w:val="lv-LV"/>
        </w:rPr>
        <w:t xml:space="preserve"> atstādina </w:t>
      </w:r>
      <w:r w:rsidRPr="00BA0D90">
        <w:rPr>
          <w:lang w:val="lv-LV"/>
        </w:rPr>
        <w:t>pēc dzelzceļa pārvadātāja pieprasījuma</w:t>
      </w:r>
      <w:r>
        <w:rPr>
          <w:lang w:val="lv-LV"/>
        </w:rPr>
        <w:t>;</w:t>
      </w:r>
    </w:p>
    <w:p w:rsidR="00045A9A" w:rsidRDefault="00045A9A" w:rsidP="00045A9A">
      <w:pPr>
        <w:pStyle w:val="ListParagraph"/>
        <w:shd w:val="clear" w:color="auto" w:fill="FFFFFF"/>
        <w:spacing w:after="0" w:line="293" w:lineRule="atLeast"/>
        <w:ind w:left="0" w:firstLine="720"/>
        <w:jc w:val="both"/>
        <w:rPr>
          <w:lang w:val="lv-LV"/>
        </w:rPr>
      </w:pPr>
      <w:r>
        <w:rPr>
          <w:lang w:val="lv-LV"/>
        </w:rPr>
        <w:t xml:space="preserve">3.12. uz </w:t>
      </w:r>
      <w:r w:rsidRPr="00612ABB">
        <w:rPr>
          <w:lang w:val="lv-LV"/>
        </w:rPr>
        <w:t>Tīkla darbības shēma</w:t>
      </w:r>
      <w:r>
        <w:rPr>
          <w:lang w:val="lv-LV"/>
        </w:rPr>
        <w:t xml:space="preserve">s </w:t>
      </w:r>
      <w:r w:rsidRPr="00F973CF">
        <w:rPr>
          <w:lang w:val="lv-LV"/>
        </w:rPr>
        <w:t>pielikuma</w:t>
      </w:r>
      <w:r>
        <w:rPr>
          <w:lang w:val="lv-LV"/>
        </w:rPr>
        <w:t xml:space="preserve"> 5.3., 5.4. un 5.5.apakšpunktu cēloņiem attiecina kavējumus, ja attiecīgās darbības netika veiktas dēļ</w:t>
      </w:r>
      <w:r w:rsidRPr="00BA0D90">
        <w:rPr>
          <w:lang w:val="lv-LV"/>
        </w:rPr>
        <w:t xml:space="preserve"> apka</w:t>
      </w:r>
      <w:r>
        <w:rPr>
          <w:lang w:val="lv-LV"/>
        </w:rPr>
        <w:t>lpes vietas operatora</w:t>
      </w:r>
      <w:r w:rsidRPr="00BA0D90">
        <w:rPr>
          <w:lang w:val="lv-LV"/>
        </w:rPr>
        <w:t>, kas ir arī infrastruktūras pārvaldītājs</w:t>
      </w:r>
      <w:r>
        <w:rPr>
          <w:lang w:val="lv-LV"/>
        </w:rPr>
        <w:t>;</w:t>
      </w:r>
    </w:p>
    <w:p w:rsidR="00045A9A" w:rsidRPr="001316E1" w:rsidRDefault="00045A9A" w:rsidP="00045A9A">
      <w:pPr>
        <w:pStyle w:val="ListParagraph"/>
        <w:shd w:val="clear" w:color="auto" w:fill="FFFFFF"/>
        <w:spacing w:after="0" w:line="293" w:lineRule="atLeast"/>
        <w:ind w:left="0" w:firstLine="720"/>
        <w:jc w:val="both"/>
        <w:rPr>
          <w:lang w:val="lv-LV"/>
        </w:rPr>
      </w:pPr>
      <w:r>
        <w:rPr>
          <w:lang w:val="lv-LV"/>
        </w:rPr>
        <w:t xml:space="preserve">3.13. </w:t>
      </w:r>
      <w:r w:rsidRPr="001316E1">
        <w:rPr>
          <w:lang w:val="lv-LV"/>
        </w:rPr>
        <w:t xml:space="preserve">ja kavējums ir noticis </w:t>
      </w:r>
      <w:r>
        <w:rPr>
          <w:lang w:val="lv-LV"/>
        </w:rPr>
        <w:t xml:space="preserve">dzelzceļa pārvadātāja ritošā sastāva dēļ, tos </w:t>
      </w:r>
      <w:r w:rsidRPr="001316E1">
        <w:rPr>
          <w:lang w:val="lv-LV"/>
        </w:rPr>
        <w:t xml:space="preserve">attiecina uz visu </w:t>
      </w:r>
      <w:r w:rsidRPr="00612ABB">
        <w:rPr>
          <w:lang w:val="lv-LV"/>
        </w:rPr>
        <w:t>Tīkla darbības shēma</w:t>
      </w:r>
      <w:r>
        <w:rPr>
          <w:lang w:val="lv-LV"/>
        </w:rPr>
        <w:t xml:space="preserve">s </w:t>
      </w:r>
      <w:r w:rsidRPr="00F973CF">
        <w:rPr>
          <w:lang w:val="lv-LV"/>
        </w:rPr>
        <w:t>pielikum</w:t>
      </w:r>
      <w:r>
        <w:rPr>
          <w:lang w:val="lv-LV"/>
        </w:rPr>
        <w:t>a 6</w:t>
      </w:r>
      <w:r w:rsidRPr="001316E1">
        <w:rPr>
          <w:lang w:val="lv-LV"/>
        </w:rPr>
        <w:t>.</w:t>
      </w:r>
      <w:r>
        <w:rPr>
          <w:lang w:val="lv-LV"/>
        </w:rPr>
        <w:t>punktā minēto</w:t>
      </w:r>
      <w:r w:rsidRPr="001316E1">
        <w:rPr>
          <w:lang w:val="lv-LV"/>
        </w:rPr>
        <w:t> kavējumu cēloņu grupu, neatšifrējot;</w:t>
      </w:r>
    </w:p>
    <w:p w:rsidR="00045A9A" w:rsidRDefault="00045A9A" w:rsidP="00045A9A">
      <w:pPr>
        <w:pStyle w:val="ListParagraph"/>
        <w:shd w:val="clear" w:color="auto" w:fill="FFFFFF"/>
        <w:spacing w:after="0" w:line="293" w:lineRule="atLeast"/>
        <w:ind w:left="0" w:firstLine="720"/>
        <w:jc w:val="both"/>
        <w:rPr>
          <w:lang w:val="lv-LV"/>
        </w:rPr>
      </w:pPr>
      <w:r>
        <w:rPr>
          <w:lang w:val="lv-LV"/>
        </w:rPr>
        <w:t xml:space="preserve">3.14. uz </w:t>
      </w:r>
      <w:r w:rsidRPr="00612ABB">
        <w:rPr>
          <w:lang w:val="lv-LV"/>
        </w:rPr>
        <w:t>Tīkla darbības shēma</w:t>
      </w:r>
      <w:r>
        <w:rPr>
          <w:lang w:val="lv-LV"/>
        </w:rPr>
        <w:t xml:space="preserve">s </w:t>
      </w:r>
      <w:r w:rsidRPr="00F973CF">
        <w:rPr>
          <w:lang w:val="lv-LV"/>
        </w:rPr>
        <w:t>pielikum</w:t>
      </w:r>
      <w:r>
        <w:rPr>
          <w:lang w:val="lv-LV"/>
        </w:rPr>
        <w:t>a 7.punktā minētās kavējumu grupas cēloņiem attiecina tikai, ja kavējums ir izraisīts ar tīšu dzelzceļa pārvadātāja darbību.</w:t>
      </w:r>
    </w:p>
    <w:p w:rsidR="00045A9A" w:rsidRDefault="00045A9A" w:rsidP="00045A9A">
      <w:pPr>
        <w:shd w:val="clear" w:color="auto" w:fill="FFFFFF"/>
        <w:spacing w:after="0" w:line="293" w:lineRule="atLeast"/>
      </w:pPr>
      <w:r>
        <w:lastRenderedPageBreak/>
        <w:t xml:space="preserve">4. Sankciju </w:t>
      </w:r>
      <w:r w:rsidRPr="00356DB8">
        <w:rPr>
          <w:b/>
        </w:rPr>
        <w:t xml:space="preserve">M </w:t>
      </w:r>
      <w:r w:rsidRPr="00356DB8">
        <w:rPr>
          <w:b/>
          <w:vertAlign w:val="subscript"/>
        </w:rPr>
        <w:t>sankc param gr s</w:t>
      </w:r>
      <w:r>
        <w:t xml:space="preserve"> par rīcību, kas traucē dzelzceļa infrastruktūras darbībai, kompensāciju </w:t>
      </w:r>
      <w:r w:rsidRPr="00356DB8">
        <w:rPr>
          <w:b/>
        </w:rPr>
        <w:t xml:space="preserve">M </w:t>
      </w:r>
      <w:r w:rsidRPr="00356DB8">
        <w:rPr>
          <w:b/>
          <w:vertAlign w:val="subscript"/>
        </w:rPr>
        <w:t>komp param gr s</w:t>
      </w:r>
      <w:r>
        <w:t xml:space="preserve"> tiem, kam traucējumu dēļ rodas zaudējumi, un prēmiju </w:t>
      </w:r>
      <w:r w:rsidRPr="00356DB8">
        <w:rPr>
          <w:b/>
        </w:rPr>
        <w:t xml:space="preserve">M </w:t>
      </w:r>
      <w:r w:rsidRPr="00356DB8">
        <w:rPr>
          <w:b/>
          <w:vertAlign w:val="subscript"/>
        </w:rPr>
        <w:t>prēm param gr s</w:t>
      </w:r>
      <w:r>
        <w:t xml:space="preserve"> finansiālās vērtības līdz maksas noteicēja 2017.gada 30.jūnija valdes lēmuma Nr. JALP-1.3/04-2017 </w:t>
      </w:r>
      <w:r>
        <w:rPr>
          <w:rFonts w:cs="Times New Roman"/>
        </w:rPr>
        <w:t>"</w:t>
      </w:r>
      <w:r>
        <w:t>Par Komisijas 2015.gada 12.jūnija īstenošanas regulas (ES) 2015/909 par kārtību, kā aprēķināt izmaksas, kas tieši radušās, sniedzot vilcienu satiksmes pakalpojumus, piemērošanu</w:t>
      </w:r>
      <w:r>
        <w:rPr>
          <w:rFonts w:cs="Times New Roman"/>
        </w:rPr>
        <w:t>"</w:t>
      </w:r>
      <w:r>
        <w:t xml:space="preserve"> nolemjošās daļas 2.punktā noteiktajam termiņam ir nulle.</w:t>
      </w:r>
    </w:p>
    <w:p w:rsidR="00045A9A" w:rsidRDefault="00045A9A" w:rsidP="00045A9A">
      <w:pPr>
        <w:shd w:val="clear" w:color="auto" w:fill="FFFFFF"/>
        <w:spacing w:after="0" w:line="293" w:lineRule="atLeast"/>
      </w:pPr>
      <w:r>
        <w:t>5. Infrastruktūras pārvaldītājs informāciju par kavējumiem un to cēloņiem uzkrāj, bet maksājumus par tiem neaprēķina.</w:t>
      </w:r>
      <w:r>
        <w:rPr>
          <w:rFonts w:cs="Times New Roman"/>
        </w:rPr>
        <w:t>"</w:t>
      </w:r>
    </w:p>
    <w:p w:rsidR="00045A9A" w:rsidRDefault="00045A9A" w:rsidP="00045A9A">
      <w:pPr>
        <w:pStyle w:val="ListParagraph"/>
        <w:shd w:val="clear" w:color="auto" w:fill="FFFFFF"/>
        <w:spacing w:after="0" w:line="293" w:lineRule="atLeast"/>
        <w:jc w:val="both"/>
        <w:rPr>
          <w:lang w:val="lv-LV"/>
        </w:rPr>
      </w:pPr>
    </w:p>
    <w:p w:rsidR="00045A9A" w:rsidRPr="001D5395" w:rsidRDefault="00045A9A" w:rsidP="00045A9A">
      <w:pPr>
        <w:pStyle w:val="ListParagraph"/>
        <w:shd w:val="clear" w:color="auto" w:fill="FFFFFF"/>
        <w:spacing w:after="0" w:line="293" w:lineRule="atLeast"/>
        <w:jc w:val="both"/>
        <w:rPr>
          <w:lang w:val="lv-LV"/>
        </w:rPr>
      </w:pPr>
    </w:p>
    <w:p w:rsidR="00045A9A" w:rsidRPr="00DC54AB" w:rsidRDefault="00045A9A" w:rsidP="00045A9A"/>
    <w:p w:rsidR="00E92944" w:rsidRDefault="00E92944">
      <w:bookmarkStart w:id="0" w:name="_GoBack"/>
      <w:bookmarkEnd w:id="0"/>
    </w:p>
    <w:sectPr w:rsidR="00E92944" w:rsidSect="00E536D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415DE"/>
    <w:multiLevelType w:val="hybridMultilevel"/>
    <w:tmpl w:val="5C72EBDC"/>
    <w:lvl w:ilvl="0" w:tplc="0426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9D730F"/>
    <w:multiLevelType w:val="multilevel"/>
    <w:tmpl w:val="4F6447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lang w:val="lv-LV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theme="minorBidi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A9A"/>
    <w:rsid w:val="00045A9A"/>
    <w:rsid w:val="00354B46"/>
    <w:rsid w:val="00E92944"/>
    <w:rsid w:val="00F5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7F8D947-8DC3-4C9C-A289-A3065E70B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45A9A"/>
    <w:pPr>
      <w:spacing w:before="120" w:after="28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5A9A"/>
    <w:pPr>
      <w:spacing w:before="0" w:after="200" w:line="276" w:lineRule="auto"/>
      <w:ind w:left="720"/>
      <w:contextualSpacing/>
      <w:jc w:val="left"/>
    </w:pPr>
    <w:rPr>
      <w:rFonts w:eastAsia="Calibri" w:cs="Times New Roman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045A9A"/>
    <w:pPr>
      <w:spacing w:before="0" w:after="0"/>
      <w:jc w:val="left"/>
    </w:pPr>
    <w:rPr>
      <w:rFonts w:eastAsia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4450</Words>
  <Characters>2538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Ēriks Pjatkins</dc:creator>
  <cp:keywords/>
  <dc:description/>
  <cp:lastModifiedBy>Ēriks Pjatkins</cp:lastModifiedBy>
  <cp:revision>1</cp:revision>
  <dcterms:created xsi:type="dcterms:W3CDTF">2017-09-07T09:17:00Z</dcterms:created>
  <dcterms:modified xsi:type="dcterms:W3CDTF">2017-09-07T09:19:00Z</dcterms:modified>
</cp:coreProperties>
</file>