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179D8" w14:textId="5CED7FAC" w:rsidR="00141662" w:rsidRPr="00393534" w:rsidRDefault="00141662" w:rsidP="00EC4F79">
      <w:pPr>
        <w:spacing w:after="0" w:line="240" w:lineRule="auto"/>
        <w:ind w:left="4320"/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141662">
        <w:rPr>
          <w:rFonts w:ascii="Arial" w:hAnsi="Arial" w:cs="Arial"/>
          <w:i/>
          <w:sz w:val="20"/>
          <w:szCs w:val="20"/>
          <w:highlight w:val="yellow"/>
          <w:lang w:val="lv-LV"/>
        </w:rPr>
        <w:t>PROJEKTS</w:t>
      </w:r>
    </w:p>
    <w:p w14:paraId="5B894621" w14:textId="77777777" w:rsidR="004F56E3" w:rsidRPr="00A10F56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 xml:space="preserve">APSTIPRINĀTS </w:t>
      </w:r>
    </w:p>
    <w:p w14:paraId="3C5436D5" w14:textId="77777777" w:rsidR="004F56E3" w:rsidRPr="00A10F56" w:rsidRDefault="0042691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 xml:space="preserve">ar </w:t>
      </w:r>
      <w:r w:rsidR="004F56E3" w:rsidRPr="00A10F56">
        <w:rPr>
          <w:rFonts w:ascii="Arial" w:hAnsi="Arial" w:cs="Arial"/>
          <w:sz w:val="20"/>
          <w:szCs w:val="20"/>
          <w:lang w:val="lv-LV"/>
        </w:rPr>
        <w:t xml:space="preserve">akciju sabiedrības "LatRailNet" </w:t>
      </w:r>
    </w:p>
    <w:p w14:paraId="05C850DD" w14:textId="726273D0" w:rsidR="0042691B" w:rsidRPr="00A10F56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>20</w:t>
      </w:r>
      <w:r w:rsidR="00013F46" w:rsidRPr="00A10F56">
        <w:rPr>
          <w:rFonts w:ascii="Arial" w:hAnsi="Arial" w:cs="Arial"/>
          <w:sz w:val="20"/>
          <w:szCs w:val="20"/>
          <w:lang w:val="lv-LV"/>
        </w:rPr>
        <w:t>20</w:t>
      </w:r>
      <w:r w:rsidRPr="00A10F56">
        <w:rPr>
          <w:rFonts w:ascii="Arial" w:hAnsi="Arial" w:cs="Arial"/>
          <w:sz w:val="20"/>
          <w:szCs w:val="20"/>
          <w:lang w:val="lv-LV"/>
        </w:rPr>
        <w:t xml:space="preserve">.gada </w:t>
      </w:r>
      <w:r w:rsidR="00B12FDD" w:rsidRPr="00AC0C1E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892F86" w:rsidRPr="00A10F56">
        <w:rPr>
          <w:rFonts w:ascii="Arial" w:hAnsi="Arial" w:cs="Arial"/>
          <w:sz w:val="20"/>
          <w:szCs w:val="20"/>
          <w:lang w:val="lv-LV"/>
        </w:rPr>
        <w:t>.</w:t>
      </w:r>
      <w:r w:rsidR="00B12FDD">
        <w:rPr>
          <w:rFonts w:ascii="Arial" w:hAnsi="Arial" w:cs="Arial"/>
          <w:sz w:val="20"/>
          <w:szCs w:val="20"/>
          <w:lang w:val="lv-LV"/>
        </w:rPr>
        <w:t>decem</w:t>
      </w:r>
      <w:r w:rsidR="003B0EE2" w:rsidRPr="00A10F56">
        <w:rPr>
          <w:rFonts w:ascii="Arial" w:hAnsi="Arial" w:cs="Arial"/>
          <w:sz w:val="20"/>
          <w:szCs w:val="20"/>
          <w:lang w:val="lv-LV"/>
        </w:rPr>
        <w:t>bra</w:t>
      </w:r>
      <w:r w:rsidRPr="00A10F56">
        <w:rPr>
          <w:rFonts w:ascii="Arial" w:hAnsi="Arial" w:cs="Arial"/>
          <w:sz w:val="20"/>
          <w:szCs w:val="20"/>
          <w:lang w:val="lv-LV"/>
        </w:rPr>
        <w:t xml:space="preserve"> </w:t>
      </w:r>
      <w:r w:rsidR="0042691B" w:rsidRPr="00A10F56">
        <w:rPr>
          <w:rFonts w:ascii="Arial" w:hAnsi="Arial" w:cs="Arial"/>
          <w:sz w:val="20"/>
          <w:szCs w:val="20"/>
          <w:lang w:val="lv-LV"/>
        </w:rPr>
        <w:t xml:space="preserve">valdes </w:t>
      </w:r>
    </w:p>
    <w:p w14:paraId="70D2ECB3" w14:textId="50A35F5D" w:rsidR="004F56E3" w:rsidRPr="00A10F56" w:rsidRDefault="003947AE" w:rsidP="003947AE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 xml:space="preserve">                        </w:t>
      </w:r>
      <w:r w:rsidR="004F56E3" w:rsidRPr="00A10F56">
        <w:rPr>
          <w:rFonts w:ascii="Arial" w:hAnsi="Arial" w:cs="Arial"/>
          <w:sz w:val="20"/>
          <w:szCs w:val="20"/>
          <w:lang w:val="lv-LV"/>
        </w:rPr>
        <w:t>sēd</w:t>
      </w:r>
      <w:r w:rsidR="0042691B" w:rsidRPr="00A10F56">
        <w:rPr>
          <w:rFonts w:ascii="Arial" w:hAnsi="Arial" w:cs="Arial"/>
          <w:sz w:val="20"/>
          <w:szCs w:val="20"/>
          <w:lang w:val="lv-LV"/>
        </w:rPr>
        <w:t>es lēmumu Nr. JALP-</w:t>
      </w:r>
      <w:r w:rsidRPr="00A10F56">
        <w:rPr>
          <w:rFonts w:ascii="Arial" w:hAnsi="Arial" w:cs="Arial"/>
          <w:sz w:val="20"/>
          <w:szCs w:val="20"/>
          <w:lang w:val="lv-LV"/>
        </w:rPr>
        <w:t>1.3./</w:t>
      </w:r>
      <w:r w:rsidR="00B12FDD" w:rsidRPr="00B12FDD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A10F56">
        <w:rPr>
          <w:rFonts w:ascii="Arial" w:hAnsi="Arial" w:cs="Arial"/>
          <w:sz w:val="20"/>
          <w:szCs w:val="20"/>
          <w:lang w:val="lv-LV"/>
        </w:rPr>
        <w:t>-2020</w:t>
      </w:r>
      <w:r w:rsidR="004F56E3" w:rsidRPr="00A10F56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6CF74A1" w14:textId="3F34E43C" w:rsidR="004F56E3" w:rsidRPr="00A10F56" w:rsidRDefault="00E06AA4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>prot.</w:t>
      </w:r>
      <w:r w:rsidR="003947AE" w:rsidRPr="00A10F56">
        <w:rPr>
          <w:rFonts w:ascii="Arial" w:hAnsi="Arial" w:cs="Arial"/>
          <w:sz w:val="20"/>
          <w:szCs w:val="20"/>
          <w:lang w:val="lv-LV"/>
        </w:rPr>
        <w:t xml:space="preserve"> </w:t>
      </w:r>
      <w:r w:rsidRPr="00A10F56">
        <w:rPr>
          <w:rFonts w:ascii="Arial" w:hAnsi="Arial" w:cs="Arial"/>
          <w:sz w:val="20"/>
          <w:szCs w:val="20"/>
          <w:lang w:val="lv-LV"/>
        </w:rPr>
        <w:t>Nr.</w:t>
      </w:r>
      <w:r w:rsidR="003947AE" w:rsidRPr="00A10F56">
        <w:rPr>
          <w:rFonts w:ascii="Arial" w:hAnsi="Arial" w:cs="Arial"/>
          <w:sz w:val="20"/>
          <w:szCs w:val="20"/>
          <w:lang w:val="lv-LV"/>
        </w:rPr>
        <w:t xml:space="preserve"> </w:t>
      </w:r>
      <w:r w:rsidRPr="00A10F56">
        <w:rPr>
          <w:rFonts w:ascii="Arial" w:hAnsi="Arial" w:cs="Arial"/>
          <w:sz w:val="20"/>
          <w:szCs w:val="20"/>
          <w:lang w:val="lv-LV"/>
        </w:rPr>
        <w:t>JALP-1.2</w:t>
      </w:r>
      <w:r w:rsidR="003947AE" w:rsidRPr="00A10F56">
        <w:rPr>
          <w:rFonts w:ascii="Arial" w:hAnsi="Arial" w:cs="Arial"/>
          <w:sz w:val="20"/>
          <w:szCs w:val="20"/>
          <w:lang w:val="lv-LV"/>
        </w:rPr>
        <w:t>.</w:t>
      </w:r>
      <w:r w:rsidRPr="00A10F56">
        <w:rPr>
          <w:rFonts w:ascii="Arial" w:hAnsi="Arial" w:cs="Arial"/>
          <w:sz w:val="20"/>
          <w:szCs w:val="20"/>
          <w:lang w:val="lv-LV"/>
        </w:rPr>
        <w:t>/</w:t>
      </w:r>
      <w:r w:rsidR="00B12FDD" w:rsidRPr="00B12FDD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A10F56">
        <w:rPr>
          <w:rFonts w:ascii="Arial" w:hAnsi="Arial" w:cs="Arial"/>
          <w:sz w:val="20"/>
          <w:szCs w:val="20"/>
          <w:lang w:val="lv-LV"/>
        </w:rPr>
        <w:t>-2020</w:t>
      </w:r>
    </w:p>
    <w:p w14:paraId="417EFFF0" w14:textId="77777777" w:rsidR="00393534" w:rsidRDefault="00393534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3EEEE7C5" w14:textId="77777777" w:rsidR="004F56E3" w:rsidRPr="00A10F56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bookmarkStart w:id="0" w:name="_GoBack"/>
      <w:bookmarkEnd w:id="0"/>
      <w:r w:rsidRPr="00A10F56">
        <w:rPr>
          <w:rFonts w:ascii="Arial" w:hAnsi="Arial" w:cs="Arial"/>
          <w:sz w:val="20"/>
          <w:szCs w:val="20"/>
          <w:lang w:val="lv-LV"/>
        </w:rPr>
        <w:t>N O T E I K U M I</w:t>
      </w:r>
    </w:p>
    <w:p w14:paraId="6E3E52DF" w14:textId="77777777" w:rsidR="004F56E3" w:rsidRPr="00A10F56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02D700E" w14:textId="2A30A912" w:rsidR="00393534" w:rsidRPr="00A10F56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>Rīgā</w:t>
      </w:r>
    </w:p>
    <w:p w14:paraId="1A587E41" w14:textId="77777777" w:rsidR="00BD7F56" w:rsidRPr="00A10F56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FF0366A" w14:textId="0280A6CF" w:rsidR="004F56E3" w:rsidRPr="00D960A8" w:rsidRDefault="00013F4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A10F56">
        <w:rPr>
          <w:rFonts w:ascii="Arial" w:hAnsi="Arial" w:cs="Arial"/>
          <w:sz w:val="20"/>
          <w:szCs w:val="20"/>
          <w:lang w:val="lv-LV"/>
        </w:rPr>
        <w:t>2020</w:t>
      </w:r>
      <w:r w:rsidR="00567E8C" w:rsidRPr="00A10F56">
        <w:rPr>
          <w:rFonts w:ascii="Arial" w:hAnsi="Arial" w:cs="Arial"/>
          <w:sz w:val="20"/>
          <w:szCs w:val="20"/>
          <w:lang w:val="lv-LV"/>
        </w:rPr>
        <w:t xml:space="preserve">.gada </w:t>
      </w:r>
      <w:r w:rsidR="00C25526" w:rsidRPr="00C25526">
        <w:rPr>
          <w:rFonts w:ascii="Arial" w:hAnsi="Arial" w:cs="Arial"/>
          <w:sz w:val="20"/>
          <w:szCs w:val="20"/>
          <w:highlight w:val="yellow"/>
          <w:lang w:val="lv-LV"/>
        </w:rPr>
        <w:t>23</w:t>
      </w:r>
      <w:r w:rsidR="00E06AA4" w:rsidRPr="00A10F56">
        <w:rPr>
          <w:rFonts w:ascii="Arial" w:hAnsi="Arial" w:cs="Arial"/>
          <w:sz w:val="20"/>
          <w:szCs w:val="20"/>
          <w:lang w:val="lv-LV"/>
        </w:rPr>
        <w:t>.</w:t>
      </w:r>
      <w:r w:rsidR="00B12FDD">
        <w:rPr>
          <w:rFonts w:ascii="Arial" w:hAnsi="Arial" w:cs="Arial"/>
          <w:sz w:val="20"/>
          <w:szCs w:val="20"/>
          <w:lang w:val="lv-LV"/>
        </w:rPr>
        <w:t>decembrī</w:t>
      </w:r>
      <w:r w:rsidR="00E06AA4" w:rsidRPr="00A10F56">
        <w:rPr>
          <w:rFonts w:ascii="Arial" w:hAnsi="Arial" w:cs="Arial"/>
          <w:sz w:val="20"/>
          <w:szCs w:val="20"/>
          <w:lang w:val="lv-LV"/>
        </w:rPr>
        <w:tab/>
      </w:r>
      <w:r w:rsidR="00E06AA4" w:rsidRPr="00A10F56">
        <w:rPr>
          <w:rFonts w:ascii="Arial" w:hAnsi="Arial" w:cs="Arial"/>
          <w:sz w:val="20"/>
          <w:szCs w:val="20"/>
          <w:lang w:val="lv-LV"/>
        </w:rPr>
        <w:tab/>
      </w:r>
      <w:r w:rsidR="00E06AA4" w:rsidRPr="00A10F56">
        <w:rPr>
          <w:rFonts w:ascii="Arial" w:hAnsi="Arial" w:cs="Arial"/>
          <w:sz w:val="20"/>
          <w:szCs w:val="20"/>
          <w:lang w:val="lv-LV"/>
        </w:rPr>
        <w:tab/>
      </w:r>
      <w:r w:rsidR="00E06AA4" w:rsidRPr="00A10F56">
        <w:rPr>
          <w:rFonts w:ascii="Arial" w:hAnsi="Arial" w:cs="Arial"/>
          <w:sz w:val="20"/>
          <w:szCs w:val="20"/>
          <w:lang w:val="lv-LV"/>
        </w:rPr>
        <w:tab/>
      </w:r>
      <w:r w:rsidR="00E06AA4" w:rsidRPr="00A10F56">
        <w:rPr>
          <w:rFonts w:ascii="Arial" w:hAnsi="Arial" w:cs="Arial"/>
          <w:sz w:val="20"/>
          <w:szCs w:val="20"/>
          <w:lang w:val="lv-LV"/>
        </w:rPr>
        <w:tab/>
      </w:r>
      <w:r w:rsidR="009A32A4" w:rsidRPr="00A10F56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A10F56">
        <w:rPr>
          <w:rFonts w:ascii="Arial" w:hAnsi="Arial" w:cs="Arial"/>
          <w:sz w:val="20"/>
          <w:szCs w:val="20"/>
          <w:lang w:val="lv-LV"/>
        </w:rPr>
        <w:t xml:space="preserve"> </w:t>
      </w:r>
      <w:r w:rsidR="003B0EE2" w:rsidRPr="00A10F56">
        <w:rPr>
          <w:rFonts w:ascii="Arial" w:hAnsi="Arial" w:cs="Arial"/>
          <w:sz w:val="20"/>
          <w:szCs w:val="20"/>
          <w:lang w:val="lv-LV"/>
        </w:rPr>
        <w:tab/>
      </w:r>
      <w:r w:rsidR="00E06AA4" w:rsidRPr="00A10F56">
        <w:rPr>
          <w:rFonts w:ascii="Arial" w:hAnsi="Arial" w:cs="Arial"/>
          <w:sz w:val="20"/>
          <w:szCs w:val="20"/>
          <w:lang w:val="lv-LV"/>
        </w:rPr>
        <w:t>Nr.JALP-7.6</w:t>
      </w:r>
      <w:r w:rsidR="00DC79B0" w:rsidRPr="00A10F56">
        <w:rPr>
          <w:rFonts w:ascii="Arial" w:hAnsi="Arial" w:cs="Arial"/>
          <w:sz w:val="20"/>
          <w:szCs w:val="20"/>
          <w:lang w:val="lv-LV"/>
        </w:rPr>
        <w:t>.</w:t>
      </w:r>
      <w:r w:rsidR="00E06AA4" w:rsidRPr="00A10F56">
        <w:rPr>
          <w:rFonts w:ascii="Arial" w:hAnsi="Arial" w:cs="Arial"/>
          <w:sz w:val="20"/>
          <w:szCs w:val="20"/>
          <w:lang w:val="lv-LV"/>
        </w:rPr>
        <w:t>/</w:t>
      </w:r>
      <w:r w:rsidR="00B12FDD" w:rsidRPr="00B12FDD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A10F56">
        <w:rPr>
          <w:rFonts w:ascii="Arial" w:hAnsi="Arial" w:cs="Arial"/>
          <w:sz w:val="20"/>
          <w:szCs w:val="20"/>
          <w:lang w:val="lv-LV"/>
        </w:rPr>
        <w:t>-20</w:t>
      </w:r>
      <w:r w:rsidRPr="00A10F56">
        <w:rPr>
          <w:rFonts w:ascii="Arial" w:hAnsi="Arial" w:cs="Arial"/>
          <w:sz w:val="20"/>
          <w:szCs w:val="20"/>
          <w:lang w:val="lv-LV"/>
        </w:rPr>
        <w:t>20</w:t>
      </w:r>
    </w:p>
    <w:p w14:paraId="4D646031" w14:textId="77777777" w:rsidR="004F56E3" w:rsidRPr="00D960A8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ECB0FEB" w14:textId="77777777" w:rsidR="00BD7F56" w:rsidRPr="00654582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6F2E7539" w14:textId="77777777" w:rsidR="004F56E3" w:rsidRPr="00654582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654582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1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aprēķināšanas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6453F727" w14:textId="77777777" w:rsidR="004F56E3" w:rsidRPr="00654582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043D7F4B" w14:textId="77777777" w:rsidR="00EC4F79" w:rsidRDefault="00EC4F79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654582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654582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654582">
        <w:rPr>
          <w:rFonts w:ascii="Arial" w:hAnsi="Arial" w:cs="Arial"/>
          <w:sz w:val="20"/>
          <w:szCs w:val="20"/>
          <w:lang w:val="lv-LV"/>
        </w:rPr>
        <w:t>os Nr.JALP-7.6/0</w:t>
      </w:r>
      <w:r w:rsidR="00BD7F56" w:rsidRPr="00654582">
        <w:rPr>
          <w:rFonts w:ascii="Arial" w:hAnsi="Arial" w:cs="Arial"/>
          <w:sz w:val="20"/>
          <w:szCs w:val="20"/>
          <w:lang w:val="lv-LV"/>
        </w:rPr>
        <w:t>1</w:t>
      </w:r>
      <w:r w:rsidR="009A32A4" w:rsidRPr="00654582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BD7F56" w:rsidRPr="00654582">
        <w:rPr>
          <w:rFonts w:ascii="Arial" w:hAnsi="Arial" w:cs="Arial"/>
          <w:sz w:val="20"/>
          <w:szCs w:val="20"/>
          <w:lang w:val="lv-LV"/>
        </w:rPr>
        <w:t>aprēķināšanas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654582">
        <w:rPr>
          <w:rFonts w:ascii="Arial" w:hAnsi="Arial" w:cs="Arial"/>
          <w:sz w:val="20"/>
          <w:szCs w:val="20"/>
          <w:lang w:val="lv-LV"/>
        </w:rPr>
        <w:t>"</w:t>
      </w:r>
      <w:r w:rsidR="00FA4847" w:rsidRPr="00654582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A108A">
        <w:rPr>
          <w:rFonts w:ascii="Arial" w:hAnsi="Arial" w:cs="Arial"/>
          <w:sz w:val="20"/>
          <w:szCs w:val="20"/>
          <w:lang w:val="lv-LV"/>
        </w:rPr>
        <w:t>shēma</w:t>
      </w:r>
      <w:r w:rsidR="00FA4847" w:rsidRPr="00654582">
        <w:rPr>
          <w:rFonts w:ascii="Arial" w:hAnsi="Arial" w:cs="Arial"/>
          <w:sz w:val="20"/>
          <w:szCs w:val="20"/>
          <w:lang w:val="lv-LV"/>
        </w:rPr>
        <w:t>)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42CDB0E0" w14:textId="77777777" w:rsidR="00A10F56" w:rsidRDefault="00A10F56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7FDE00A5" w14:textId="274A5D87" w:rsidR="00A10F56" w:rsidRDefault="00A86792" w:rsidP="00A10F56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1.1. i</w:t>
      </w:r>
      <w:r w:rsidR="00A10F56" w:rsidRPr="0040041A">
        <w:rPr>
          <w:rFonts w:ascii="Arial" w:hAnsi="Arial" w:cs="Arial"/>
          <w:sz w:val="20"/>
          <w:szCs w:val="20"/>
          <w:lang w:val="lv-LV"/>
        </w:rPr>
        <w:t xml:space="preserve">zteikt shēmas </w:t>
      </w:r>
      <w:r w:rsidR="00C25526" w:rsidRPr="0040041A">
        <w:rPr>
          <w:rFonts w:ascii="Arial" w:hAnsi="Arial" w:cs="Arial"/>
          <w:sz w:val="20"/>
          <w:szCs w:val="20"/>
          <w:lang w:val="lv-LV"/>
        </w:rPr>
        <w:t>3</w:t>
      </w:r>
      <w:r w:rsidR="00A10F56" w:rsidRPr="0040041A">
        <w:rPr>
          <w:rFonts w:ascii="Arial" w:hAnsi="Arial" w:cs="Arial"/>
          <w:sz w:val="20"/>
          <w:szCs w:val="20"/>
          <w:lang w:val="lv-LV"/>
        </w:rPr>
        <w:t>.pielikum</w:t>
      </w:r>
      <w:r w:rsidR="00B12FDD" w:rsidRPr="0040041A">
        <w:rPr>
          <w:rFonts w:ascii="Arial" w:hAnsi="Arial" w:cs="Arial"/>
          <w:sz w:val="20"/>
          <w:szCs w:val="20"/>
          <w:lang w:val="lv-LV"/>
        </w:rPr>
        <w:t xml:space="preserve">a </w:t>
      </w:r>
      <w:r w:rsidR="009A3AD4" w:rsidRPr="0040041A">
        <w:rPr>
          <w:rFonts w:ascii="Arial" w:hAnsi="Arial" w:cs="Arial"/>
          <w:sz w:val="20"/>
          <w:szCs w:val="20"/>
          <w:lang w:val="lv-LV"/>
        </w:rPr>
        <w:t>6</w:t>
      </w:r>
      <w:r w:rsidR="00B12FDD" w:rsidRPr="0040041A">
        <w:rPr>
          <w:rFonts w:ascii="Arial" w:hAnsi="Arial" w:cs="Arial"/>
          <w:sz w:val="20"/>
          <w:szCs w:val="20"/>
          <w:lang w:val="lv-LV"/>
        </w:rPr>
        <w:t>.punktu</w:t>
      </w:r>
      <w:r w:rsidR="00A10F56" w:rsidRPr="0040041A">
        <w:rPr>
          <w:rFonts w:ascii="Arial" w:hAnsi="Arial" w:cs="Arial"/>
          <w:sz w:val="20"/>
          <w:szCs w:val="20"/>
          <w:lang w:val="lv-LV"/>
        </w:rPr>
        <w:t xml:space="preserve"> šādā redakcijā:</w:t>
      </w:r>
    </w:p>
    <w:p w14:paraId="030C9D26" w14:textId="77777777" w:rsidR="00B12FDD" w:rsidRDefault="00B12FDD" w:rsidP="004E7C1C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3B1E574C" w14:textId="06211BC7" w:rsidR="001D586E" w:rsidRDefault="004E7C1C" w:rsidP="00A86792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  <w:r w:rsidRPr="008C5F40">
        <w:rPr>
          <w:rFonts w:ascii="Arial" w:hAnsi="Arial" w:cs="Arial"/>
          <w:sz w:val="20"/>
          <w:szCs w:val="20"/>
          <w:lang w:val="lv-LV"/>
        </w:rPr>
        <w:t>"</w:t>
      </w:r>
      <w:r w:rsidR="001D586E" w:rsidRPr="00472452">
        <w:rPr>
          <w:rFonts w:ascii="Arial" w:hAnsi="Arial" w:cs="Arial"/>
          <w:sz w:val="20"/>
          <w:szCs w:val="20"/>
        </w:rPr>
        <w:t xml:space="preserve">6. gadījumos, ja </w:t>
      </w:r>
      <w:r w:rsidR="009C21B5">
        <w:rPr>
          <w:rFonts w:ascii="Arial" w:hAnsi="Arial" w:cs="Arial"/>
          <w:sz w:val="20"/>
          <w:szCs w:val="20"/>
        </w:rPr>
        <w:t xml:space="preserve">maksas noteicējs konstatē </w:t>
      </w:r>
      <w:r w:rsidR="001D586E" w:rsidRPr="00472452">
        <w:rPr>
          <w:rFonts w:ascii="Arial" w:hAnsi="Arial" w:cs="Arial"/>
          <w:sz w:val="20"/>
          <w:szCs w:val="20"/>
        </w:rPr>
        <w:t xml:space="preserve">potenciālu </w:t>
      </w:r>
      <w:bookmarkStart w:id="1" w:name="_Hlk6634598"/>
      <w:r w:rsidR="001D586E" w:rsidRPr="00472452">
        <w:rPr>
          <w:rFonts w:ascii="Arial" w:hAnsi="Arial" w:cs="Arial"/>
          <w:b/>
          <w:sz w:val="20"/>
          <w:szCs w:val="20"/>
        </w:rPr>
        <w:t xml:space="preserve">J </w:t>
      </w:r>
      <w:r w:rsidR="001D586E" w:rsidRPr="00472452">
        <w:rPr>
          <w:rFonts w:ascii="Arial" w:hAnsi="Arial" w:cs="Arial"/>
          <w:b/>
          <w:sz w:val="20"/>
          <w:szCs w:val="20"/>
          <w:vertAlign w:val="subscript"/>
        </w:rPr>
        <w:t>s</w:t>
      </w:r>
      <w:r w:rsidR="001D586E" w:rsidRPr="00472452">
        <w:rPr>
          <w:rFonts w:ascii="Arial" w:hAnsi="Arial" w:cs="Arial"/>
          <w:sz w:val="20"/>
          <w:szCs w:val="20"/>
        </w:rPr>
        <w:t xml:space="preserve"> vērtības pieaugumu kādā no segmentiem</w:t>
      </w:r>
      <w:r w:rsidR="009C21B5">
        <w:rPr>
          <w:rFonts w:ascii="Arial" w:hAnsi="Arial" w:cs="Arial"/>
          <w:sz w:val="20"/>
          <w:szCs w:val="20"/>
        </w:rPr>
        <w:t xml:space="preserve"> vai arī </w:t>
      </w:r>
      <w:r w:rsidR="002B5DE9">
        <w:rPr>
          <w:rFonts w:ascii="Arial" w:hAnsi="Arial" w:cs="Arial"/>
          <w:sz w:val="20"/>
          <w:szCs w:val="20"/>
        </w:rPr>
        <w:t xml:space="preserve">saskaņā ar shēmas 33.punktu </w:t>
      </w:r>
      <w:r w:rsidR="009C21B5">
        <w:rPr>
          <w:rFonts w:ascii="Arial" w:hAnsi="Arial" w:cs="Arial"/>
          <w:sz w:val="20"/>
          <w:szCs w:val="20"/>
        </w:rPr>
        <w:t>ir saņemti atbilstoši pierādījumi</w:t>
      </w:r>
      <w:r w:rsidR="001D586E" w:rsidRPr="00472452">
        <w:rPr>
          <w:rFonts w:ascii="Arial" w:hAnsi="Arial" w:cs="Arial"/>
          <w:sz w:val="20"/>
          <w:szCs w:val="20"/>
        </w:rPr>
        <w:t>, maksas noteicējs pieteikumu iesniedzējiem</w:t>
      </w:r>
      <w:r w:rsidR="00536937">
        <w:rPr>
          <w:rFonts w:ascii="Arial" w:hAnsi="Arial" w:cs="Arial"/>
          <w:sz w:val="20"/>
          <w:szCs w:val="20"/>
        </w:rPr>
        <w:t xml:space="preserve"> vai </w:t>
      </w:r>
      <w:r w:rsidR="008B6852">
        <w:rPr>
          <w:rFonts w:ascii="Arial" w:hAnsi="Arial" w:cs="Arial"/>
          <w:sz w:val="20"/>
          <w:szCs w:val="20"/>
        </w:rPr>
        <w:t xml:space="preserve">shēmas 3.pielikuma III.sadaļas 1.punktā minētajai ekspertu grupai </w:t>
      </w:r>
      <w:r w:rsidR="001D586E" w:rsidRPr="00472452">
        <w:rPr>
          <w:rFonts w:ascii="Arial" w:hAnsi="Arial" w:cs="Arial"/>
          <w:sz w:val="20"/>
          <w:szCs w:val="20"/>
        </w:rPr>
        <w:t>nosūt</w:t>
      </w:r>
      <w:r w:rsidR="008B6852">
        <w:rPr>
          <w:rFonts w:ascii="Arial" w:hAnsi="Arial" w:cs="Arial"/>
          <w:sz w:val="20"/>
          <w:szCs w:val="20"/>
        </w:rPr>
        <w:t>a pieprasījumu novērtēt konkrētu tirgus segmentu pārvadājumu apjomu</w:t>
      </w:r>
      <w:r w:rsidR="001D586E" w:rsidRPr="00472452">
        <w:rPr>
          <w:rFonts w:ascii="Arial" w:hAnsi="Arial" w:cs="Arial"/>
          <w:sz w:val="20"/>
          <w:szCs w:val="20"/>
        </w:rPr>
        <w:t xml:space="preserve"> elastību atkarībā no potenciāli noteiktās infrastruktūras maksas kopējā maksājuma par 1 vilcienu km atbilstoši maksas noteicēja pieņēmumiem par vilcienu tehniskajiem parametriem</w:t>
      </w:r>
      <w:bookmarkEnd w:id="1"/>
      <w:r w:rsidR="001D586E" w:rsidRPr="00472452">
        <w:rPr>
          <w:rFonts w:ascii="Arial" w:hAnsi="Arial" w:cs="Arial"/>
          <w:sz w:val="20"/>
          <w:szCs w:val="20"/>
        </w:rPr>
        <w:t>:</w:t>
      </w:r>
    </w:p>
    <w:p w14:paraId="0131774C" w14:textId="77777777" w:rsidR="00A86792" w:rsidRPr="00A86792" w:rsidRDefault="00A86792" w:rsidP="00A86792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tbl>
      <w:tblPr>
        <w:tblStyle w:val="TableGrid1"/>
        <w:tblW w:w="4956" w:type="pct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95"/>
        <w:gridCol w:w="1486"/>
        <w:gridCol w:w="1486"/>
        <w:gridCol w:w="1425"/>
        <w:gridCol w:w="1455"/>
      </w:tblGrid>
      <w:tr w:rsidR="009D6E1C" w:rsidRPr="00472452" w14:paraId="36188C08" w14:textId="77777777" w:rsidTr="009D6E1C">
        <w:trPr>
          <w:trHeight w:val="737"/>
        </w:trPr>
        <w:tc>
          <w:tcPr>
            <w:tcW w:w="901" w:type="pct"/>
            <w:vMerge w:val="restart"/>
            <w:tcBorders>
              <w:top w:val="double" w:sz="4" w:space="0" w:color="auto"/>
            </w:tcBorders>
            <w:vAlign w:val="center"/>
          </w:tcPr>
          <w:p w14:paraId="1607D0F5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Plānotais pārvadājumu apjoms atkarībā no noteiktās infrastruktūras maksas</w:t>
            </w:r>
          </w:p>
        </w:tc>
        <w:tc>
          <w:tcPr>
            <w:tcW w:w="83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E81262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M 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s 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1 = TI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</w:p>
        </w:tc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16091A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2 = …</w:t>
            </w:r>
          </w:p>
        </w:tc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7F991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3 = …</w:t>
            </w:r>
          </w:p>
        </w:tc>
        <w:tc>
          <w:tcPr>
            <w:tcW w:w="79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DE28AF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4 = …</w:t>
            </w:r>
          </w:p>
        </w:tc>
        <w:tc>
          <w:tcPr>
            <w:tcW w:w="8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CBA8D4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5 = PI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</w:p>
        </w:tc>
      </w:tr>
      <w:tr w:rsidR="009D6E1C" w:rsidRPr="00472452" w14:paraId="405E0355" w14:textId="77777777" w:rsidTr="009D6E1C">
        <w:tc>
          <w:tcPr>
            <w:tcW w:w="901" w:type="pct"/>
            <w:vMerge/>
            <w:tcBorders>
              <w:bottom w:val="double" w:sz="4" w:space="0" w:color="auto"/>
            </w:tcBorders>
            <w:vAlign w:val="center"/>
          </w:tcPr>
          <w:p w14:paraId="66C0DF87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4C28F8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maksa tiešo izmaksu līmenī</w:t>
            </w:r>
          </w:p>
        </w:tc>
        <w:tc>
          <w:tcPr>
            <w:tcW w:w="82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CC6D49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41897664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82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FB13F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108F8C57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79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079FE6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358E2088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81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82E37D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maksa pilno izmaksu līmenī</w:t>
            </w:r>
          </w:p>
        </w:tc>
      </w:tr>
      <w:tr w:rsidR="009D6E1C" w:rsidRPr="00472452" w14:paraId="33B38BC0" w14:textId="77777777" w:rsidTr="009D6E1C">
        <w:trPr>
          <w:trHeight w:val="764"/>
        </w:trPr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14:paraId="71B2B44F" w14:textId="77777777" w:rsidR="001D586E" w:rsidRPr="00472452" w:rsidRDefault="001D586E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DR 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>param gr s</w:t>
            </w:r>
          </w:p>
        </w:tc>
        <w:tc>
          <w:tcPr>
            <w:tcW w:w="834" w:type="pct"/>
            <w:tcBorders>
              <w:top w:val="double" w:sz="4" w:space="0" w:color="auto"/>
            </w:tcBorders>
            <w:vAlign w:val="center"/>
          </w:tcPr>
          <w:p w14:paraId="6FBC3222" w14:textId="194CB488" w:rsidR="001D586E" w:rsidRPr="00472452" w:rsidRDefault="001D586E" w:rsidP="00B81CB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829" w:type="pct"/>
            <w:tcBorders>
              <w:top w:val="double" w:sz="4" w:space="0" w:color="auto"/>
            </w:tcBorders>
            <w:vAlign w:val="center"/>
          </w:tcPr>
          <w:p w14:paraId="21DC30DF" w14:textId="70325ABF" w:rsidR="001D586E" w:rsidRPr="00472452" w:rsidRDefault="00E546C4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829" w:type="pct"/>
            <w:tcBorders>
              <w:top w:val="double" w:sz="4" w:space="0" w:color="auto"/>
            </w:tcBorders>
            <w:vAlign w:val="center"/>
          </w:tcPr>
          <w:p w14:paraId="174BB1DB" w14:textId="0DA68456" w:rsidR="001D586E" w:rsidRPr="00472452" w:rsidRDefault="00E546C4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795" w:type="pct"/>
            <w:tcBorders>
              <w:top w:val="double" w:sz="4" w:space="0" w:color="auto"/>
            </w:tcBorders>
            <w:vAlign w:val="center"/>
          </w:tcPr>
          <w:p w14:paraId="4DF2E60A" w14:textId="610F3BDA" w:rsidR="001D586E" w:rsidRPr="00472452" w:rsidRDefault="00E546C4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812" w:type="pct"/>
            <w:tcBorders>
              <w:top w:val="double" w:sz="4" w:space="0" w:color="auto"/>
            </w:tcBorders>
            <w:vAlign w:val="center"/>
          </w:tcPr>
          <w:p w14:paraId="7A6FF268" w14:textId="38F2FFBD" w:rsidR="001D586E" w:rsidRPr="00472452" w:rsidRDefault="00E546C4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</w:tr>
    </w:tbl>
    <w:p w14:paraId="61BA3E9A" w14:textId="77777777" w:rsidR="00A86792" w:rsidRDefault="00A86792" w:rsidP="00A412A5">
      <w:pPr>
        <w:spacing w:after="0"/>
        <w:rPr>
          <w:rFonts w:ascii="Arial" w:hAnsi="Arial" w:cs="Arial"/>
          <w:sz w:val="20"/>
          <w:szCs w:val="20"/>
        </w:rPr>
      </w:pPr>
    </w:p>
    <w:p w14:paraId="24987AB0" w14:textId="220E6B15" w:rsidR="008C5F40" w:rsidRDefault="00A86792" w:rsidP="009D6E1C">
      <w:pPr>
        <w:jc w:val="both"/>
        <w:rPr>
          <w:rFonts w:ascii="Arial" w:hAnsi="Arial" w:cs="Arial"/>
          <w:sz w:val="20"/>
          <w:szCs w:val="20"/>
          <w:lang w:val="lv-LV"/>
        </w:rPr>
      </w:pPr>
      <w:r w:rsidRPr="00A86792">
        <w:rPr>
          <w:rFonts w:ascii="Arial" w:hAnsi="Arial" w:cs="Arial"/>
          <w:sz w:val="20"/>
          <w:szCs w:val="20"/>
          <w:lang w:val="lv-LV"/>
        </w:rPr>
        <w:t>."</w:t>
      </w:r>
      <w:r>
        <w:rPr>
          <w:rFonts w:ascii="Arial" w:hAnsi="Arial" w:cs="Arial"/>
          <w:sz w:val="20"/>
          <w:szCs w:val="20"/>
          <w:lang w:val="lv-LV"/>
        </w:rPr>
        <w:t>;</w:t>
      </w:r>
    </w:p>
    <w:p w14:paraId="7B0DF1E5" w14:textId="14473D01" w:rsidR="00DE49F8" w:rsidRDefault="00A86792" w:rsidP="009D6E1C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 w:rsidR="00143AB7">
        <w:rPr>
          <w:rFonts w:ascii="Arial" w:hAnsi="Arial" w:cs="Arial"/>
          <w:sz w:val="20"/>
          <w:szCs w:val="20"/>
        </w:rPr>
        <w:t xml:space="preserve"> </w:t>
      </w:r>
      <w:r w:rsidR="00965A48">
        <w:rPr>
          <w:rFonts w:ascii="Arial" w:hAnsi="Arial" w:cs="Arial"/>
          <w:sz w:val="20"/>
          <w:szCs w:val="20"/>
          <w:lang w:val="lv-LV"/>
        </w:rPr>
        <w:t>papildināt</w:t>
      </w:r>
      <w:r w:rsidR="00965A48" w:rsidRPr="0040041A">
        <w:rPr>
          <w:rFonts w:ascii="Arial" w:hAnsi="Arial" w:cs="Arial"/>
          <w:sz w:val="20"/>
          <w:szCs w:val="20"/>
          <w:lang w:val="lv-LV"/>
        </w:rPr>
        <w:t xml:space="preserve"> shēmas </w:t>
      </w:r>
      <w:r w:rsidR="00965A48">
        <w:rPr>
          <w:rFonts w:ascii="Arial" w:hAnsi="Arial" w:cs="Arial"/>
          <w:sz w:val="20"/>
          <w:szCs w:val="20"/>
          <w:lang w:val="lv-LV"/>
        </w:rPr>
        <w:t>6</w:t>
      </w:r>
      <w:r w:rsidR="00965A48" w:rsidRPr="0040041A">
        <w:rPr>
          <w:rFonts w:ascii="Arial" w:hAnsi="Arial" w:cs="Arial"/>
          <w:sz w:val="20"/>
          <w:szCs w:val="20"/>
          <w:lang w:val="lv-LV"/>
        </w:rPr>
        <w:t>.pielikum</w:t>
      </w:r>
      <w:r w:rsidR="00965A48">
        <w:rPr>
          <w:rFonts w:ascii="Arial" w:hAnsi="Arial" w:cs="Arial"/>
          <w:sz w:val="20"/>
          <w:szCs w:val="20"/>
          <w:lang w:val="lv-LV"/>
        </w:rPr>
        <w:t xml:space="preserve">u ar </w:t>
      </w:r>
      <w:r w:rsidR="00965A48" w:rsidRPr="00143AB7">
        <w:rPr>
          <w:rFonts w:ascii="Arial" w:hAnsi="Arial" w:cs="Arial"/>
          <w:sz w:val="20"/>
          <w:szCs w:val="20"/>
        </w:rPr>
        <w:t>8</w:t>
      </w:r>
      <w:r w:rsidR="00965A48">
        <w:rPr>
          <w:rFonts w:ascii="Arial" w:hAnsi="Arial" w:cs="Arial"/>
          <w:sz w:val="20"/>
          <w:szCs w:val="20"/>
        </w:rPr>
        <w:t>.</w:t>
      </w:r>
      <w:r w:rsidR="00965A48" w:rsidRPr="00143AB7">
        <w:rPr>
          <w:rFonts w:ascii="Arial" w:hAnsi="Arial" w:cs="Arial"/>
          <w:sz w:val="20"/>
          <w:szCs w:val="20"/>
        </w:rPr>
        <w:t>'</w:t>
      </w:r>
      <w:r w:rsidR="00965A48">
        <w:rPr>
          <w:rFonts w:ascii="Arial" w:hAnsi="Arial" w:cs="Arial"/>
          <w:sz w:val="20"/>
          <w:szCs w:val="20"/>
        </w:rPr>
        <w:t>punktu šādā redakcijā:</w:t>
      </w:r>
    </w:p>
    <w:p w14:paraId="55D6D1DA" w14:textId="0E9E2417" w:rsidR="00143AB7" w:rsidRDefault="00DE49F8" w:rsidP="009D6E1C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A86792">
        <w:rPr>
          <w:rFonts w:ascii="Arial" w:hAnsi="Arial" w:cs="Arial"/>
          <w:sz w:val="20"/>
          <w:szCs w:val="20"/>
          <w:lang w:val="lv-LV"/>
        </w:rPr>
        <w:t>"</w:t>
      </w:r>
      <w:r w:rsidR="00143AB7" w:rsidRPr="00143AB7">
        <w:rPr>
          <w:rFonts w:ascii="Arial" w:hAnsi="Arial" w:cs="Arial"/>
          <w:sz w:val="20"/>
          <w:szCs w:val="20"/>
        </w:rPr>
        <w:t>8</w:t>
      </w:r>
      <w:r w:rsidR="0097094D">
        <w:rPr>
          <w:rFonts w:ascii="Arial" w:hAnsi="Arial" w:cs="Arial"/>
          <w:sz w:val="20"/>
          <w:szCs w:val="20"/>
        </w:rPr>
        <w:t>.</w:t>
      </w:r>
      <w:r w:rsidR="0097094D" w:rsidRPr="00143AB7">
        <w:rPr>
          <w:rFonts w:ascii="Arial" w:hAnsi="Arial" w:cs="Arial"/>
          <w:sz w:val="20"/>
          <w:szCs w:val="20"/>
        </w:rPr>
        <w:t>'</w:t>
      </w:r>
      <w:r w:rsidR="00143AB7" w:rsidRPr="00143AB7">
        <w:rPr>
          <w:rFonts w:ascii="Arial" w:hAnsi="Arial" w:cs="Arial"/>
          <w:sz w:val="20"/>
          <w:szCs w:val="20"/>
        </w:rPr>
        <w:t xml:space="preserve"> Kritēriji tirgus segmentēšanai un maksas palielinājuma noteikšanai plānošanas periodam pēc 2021.gada 1.janvāra:</w:t>
      </w:r>
    </w:p>
    <w:p w14:paraId="209DA5F9" w14:textId="1EDB306F" w:rsidR="00143AB7" w:rsidRPr="00143AB7" w:rsidRDefault="0097094D" w:rsidP="009D6E1C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8.'</w:t>
      </w:r>
      <w:r w:rsidR="00143AB7" w:rsidRPr="00143AB7">
        <w:rPr>
          <w:rFonts w:ascii="Arial" w:hAnsi="Arial" w:cs="Arial"/>
          <w:sz w:val="20"/>
          <w:szCs w:val="20"/>
        </w:rPr>
        <w:t>1. uz dažādu infrastruktūras izmantošanas veidu ietekmi uz dzelzceļa infrastruktūras izmaksām ba</w:t>
      </w:r>
      <w:r w:rsidR="006B0A57">
        <w:rPr>
          <w:rFonts w:ascii="Arial" w:hAnsi="Arial" w:cs="Arial"/>
          <w:sz w:val="20"/>
          <w:szCs w:val="20"/>
        </w:rPr>
        <w:t xml:space="preserve">lstītas segmentēšanas kritēriji tiek </w:t>
      </w:r>
      <w:r w:rsidR="006E2D37">
        <w:rPr>
          <w:rFonts w:ascii="Arial" w:hAnsi="Arial" w:cs="Arial"/>
          <w:sz w:val="20"/>
          <w:szCs w:val="20"/>
        </w:rPr>
        <w:t xml:space="preserve">saglabāti nemainīgi un </w:t>
      </w:r>
      <w:r w:rsidR="006B0A57">
        <w:rPr>
          <w:rFonts w:ascii="Arial" w:hAnsi="Arial" w:cs="Arial"/>
          <w:sz w:val="20"/>
          <w:szCs w:val="20"/>
        </w:rPr>
        <w:t>piemēroti atbilstoši shēmas 6.pielikuma 8.1.punktam</w:t>
      </w:r>
      <w:r w:rsidR="00A412A5">
        <w:rPr>
          <w:rFonts w:ascii="Arial" w:hAnsi="Arial" w:cs="Arial"/>
          <w:sz w:val="20"/>
          <w:szCs w:val="20"/>
        </w:rPr>
        <w:t>;</w:t>
      </w:r>
    </w:p>
    <w:p w14:paraId="5AF500C5" w14:textId="52501B18" w:rsidR="00143AB7" w:rsidRPr="00143AB7" w:rsidRDefault="00965A48" w:rsidP="009D6E1C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8.'</w:t>
      </w:r>
      <w:r w:rsidR="00143AB7" w:rsidRPr="00143AB7">
        <w:rPr>
          <w:rFonts w:ascii="Arial" w:hAnsi="Arial" w:cs="Arial"/>
          <w:sz w:val="20"/>
          <w:szCs w:val="20"/>
        </w:rPr>
        <w:t>2.  uz dzelzceļa pārvadātāju sasniegto produktivitātes pieaugumu ba</w:t>
      </w:r>
      <w:r w:rsidR="00A412A5">
        <w:rPr>
          <w:rFonts w:ascii="Arial" w:hAnsi="Arial" w:cs="Arial"/>
          <w:sz w:val="20"/>
          <w:szCs w:val="20"/>
        </w:rPr>
        <w:t>lstītas segmentēšanas kritēriji</w:t>
      </w:r>
      <w:r w:rsidR="00A412A5" w:rsidRPr="00A412A5">
        <w:rPr>
          <w:rFonts w:ascii="Arial" w:hAnsi="Arial" w:cs="Arial"/>
          <w:sz w:val="20"/>
          <w:szCs w:val="20"/>
        </w:rPr>
        <w:t xml:space="preserve"> </w:t>
      </w:r>
      <w:r w:rsidR="0047209C">
        <w:rPr>
          <w:rFonts w:ascii="Arial" w:hAnsi="Arial" w:cs="Arial"/>
          <w:sz w:val="20"/>
          <w:szCs w:val="20"/>
        </w:rPr>
        <w:t xml:space="preserve">tiek saglabāti nemainīgi un </w:t>
      </w:r>
      <w:r w:rsidR="00A412A5">
        <w:rPr>
          <w:rFonts w:ascii="Arial" w:hAnsi="Arial" w:cs="Arial"/>
          <w:sz w:val="20"/>
          <w:szCs w:val="20"/>
        </w:rPr>
        <w:t>piemēroti atbilstoši shēmas 6.pielikuma 8.2.punktam;</w:t>
      </w:r>
    </w:p>
    <w:p w14:paraId="090F1111" w14:textId="7E831151" w:rsidR="00A86792" w:rsidRDefault="00965A48" w:rsidP="009D6E1C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8.'</w:t>
      </w:r>
      <w:r w:rsidR="00143AB7" w:rsidRPr="00143AB7">
        <w:rPr>
          <w:rFonts w:ascii="Arial" w:hAnsi="Arial" w:cs="Arial"/>
          <w:sz w:val="20"/>
          <w:szCs w:val="20"/>
        </w:rPr>
        <w:t>3. uz pieļaujamā infrastruktūras maksas palielinājuma lieluma ietekmi uz gala pakalpojumu konkurētspēju balstītas segmentēšanas kritēriji:</w:t>
      </w:r>
    </w:p>
    <w:p w14:paraId="48073B43" w14:textId="4A111255" w:rsidR="008B6852" w:rsidRDefault="000B52A8" w:rsidP="005D4B7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472452">
        <w:rPr>
          <w:rFonts w:ascii="Arial" w:hAnsi="Arial" w:cs="Arial"/>
          <w:iCs/>
          <w:sz w:val="20"/>
          <w:szCs w:val="20"/>
        </w:rPr>
        <w:t>Maksas noteicējs nosaka optimālas dzelzceļa konkurētspējas vērtēšanas krit</w:t>
      </w:r>
      <w:r w:rsidR="00F30D4E">
        <w:rPr>
          <w:rFonts w:ascii="Arial" w:hAnsi="Arial" w:cs="Arial"/>
          <w:iCs/>
          <w:sz w:val="20"/>
          <w:szCs w:val="20"/>
        </w:rPr>
        <w:t>ērijus konkrētā tirgus segmentā, balstoties uz</w:t>
      </w:r>
      <w:r w:rsidRPr="00472452">
        <w:rPr>
          <w:rFonts w:ascii="Arial" w:hAnsi="Arial" w:cs="Arial"/>
          <w:sz w:val="20"/>
          <w:szCs w:val="20"/>
        </w:rPr>
        <w:t xml:space="preserve"> </w:t>
      </w:r>
      <w:r w:rsidRPr="00472452">
        <w:rPr>
          <w:rFonts w:ascii="Arial" w:hAnsi="Arial" w:cs="Arial"/>
          <w:b/>
          <w:sz w:val="20"/>
          <w:szCs w:val="20"/>
        </w:rPr>
        <w:t xml:space="preserve">J </w:t>
      </w:r>
      <w:r w:rsidRPr="00472452">
        <w:rPr>
          <w:rFonts w:ascii="Arial" w:hAnsi="Arial" w:cs="Arial"/>
          <w:b/>
          <w:sz w:val="20"/>
          <w:szCs w:val="20"/>
          <w:vertAlign w:val="subscript"/>
        </w:rPr>
        <w:t>s</w:t>
      </w:r>
      <w:r w:rsidRPr="0047245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472452">
        <w:rPr>
          <w:rFonts w:ascii="Arial" w:hAnsi="Arial" w:cs="Arial"/>
          <w:sz w:val="20"/>
          <w:szCs w:val="20"/>
        </w:rPr>
        <w:t>vērtībām, ievērojot shēmas 8.punktā minēto plānošanas dokumentu un valsts transporta politikas mērķus un pamatojoties uz ekspertu</w:t>
      </w:r>
      <w:r w:rsidR="00F30D4E">
        <w:rPr>
          <w:rFonts w:ascii="Arial" w:hAnsi="Arial" w:cs="Arial"/>
          <w:sz w:val="20"/>
          <w:szCs w:val="20"/>
        </w:rPr>
        <w:t xml:space="preserve"> grupas</w:t>
      </w:r>
      <w:r w:rsidRPr="00472452">
        <w:rPr>
          <w:rFonts w:ascii="Arial" w:hAnsi="Arial" w:cs="Arial"/>
          <w:sz w:val="20"/>
          <w:szCs w:val="20"/>
        </w:rPr>
        <w:t xml:space="preserve"> vērtējumu</w:t>
      </w:r>
      <w:r w:rsidR="005D4B7C">
        <w:rPr>
          <w:rFonts w:ascii="Arial" w:hAnsi="Arial" w:cs="Arial"/>
          <w:sz w:val="20"/>
          <w:szCs w:val="20"/>
        </w:rPr>
        <w:t>, kurā iekļauj</w:t>
      </w:r>
      <w:r w:rsidR="005D4B7C" w:rsidRPr="00472452">
        <w:rPr>
          <w:rFonts w:ascii="Arial" w:hAnsi="Arial" w:cs="Arial"/>
          <w:sz w:val="20"/>
          <w:szCs w:val="20"/>
        </w:rPr>
        <w:t xml:space="preserve"> vismaz trīs neatkarīgos ekspertus (piemēram, attiecīgās nozares asociāciju vai kompetentu zinātnisko iestāžu pārstāvjus</w:t>
      </w:r>
      <w:r w:rsidR="005D4B7C">
        <w:rPr>
          <w:rFonts w:ascii="Arial" w:hAnsi="Arial" w:cs="Arial"/>
          <w:sz w:val="20"/>
          <w:szCs w:val="20"/>
        </w:rPr>
        <w:t>)</w:t>
      </w:r>
      <w:r w:rsidR="00F30D4E">
        <w:rPr>
          <w:rFonts w:ascii="Arial" w:hAnsi="Arial" w:cs="Arial"/>
          <w:sz w:val="20"/>
          <w:szCs w:val="20"/>
        </w:rPr>
        <w:t xml:space="preserve">. </w:t>
      </w:r>
      <w:r w:rsidR="008B6852">
        <w:rPr>
          <w:rFonts w:ascii="Arial" w:hAnsi="Arial" w:cs="Arial"/>
          <w:sz w:val="20"/>
          <w:szCs w:val="20"/>
        </w:rPr>
        <w:t xml:space="preserve">Pamatojoties uz shēmas 6.pielikuma 3.punktā minētajiem pieteikumu iesniedzēju </w:t>
      </w:r>
      <w:r w:rsidR="008B6852">
        <w:rPr>
          <w:rFonts w:ascii="Arial" w:hAnsi="Arial" w:cs="Arial"/>
          <w:sz w:val="20"/>
          <w:szCs w:val="20"/>
        </w:rPr>
        <w:lastRenderedPageBreak/>
        <w:t xml:space="preserve">iesniegtajiem pierādījumiem, kas norāda uz </w:t>
      </w:r>
      <w:r w:rsidR="008B6852" w:rsidRPr="00472452">
        <w:rPr>
          <w:rFonts w:ascii="Arial" w:hAnsi="Arial" w:cs="Arial"/>
          <w:sz w:val="20"/>
          <w:szCs w:val="20"/>
        </w:rPr>
        <w:t xml:space="preserve">potenciālu </w:t>
      </w:r>
      <w:r w:rsidR="008B6852" w:rsidRPr="00472452">
        <w:rPr>
          <w:rFonts w:ascii="Arial" w:hAnsi="Arial" w:cs="Arial"/>
          <w:b/>
          <w:sz w:val="20"/>
          <w:szCs w:val="20"/>
        </w:rPr>
        <w:t xml:space="preserve">J </w:t>
      </w:r>
      <w:r w:rsidR="008B6852" w:rsidRPr="00472452">
        <w:rPr>
          <w:rFonts w:ascii="Arial" w:hAnsi="Arial" w:cs="Arial"/>
          <w:b/>
          <w:sz w:val="20"/>
          <w:szCs w:val="20"/>
          <w:vertAlign w:val="subscript"/>
        </w:rPr>
        <w:t>s</w:t>
      </w:r>
      <w:r w:rsidR="008B6852" w:rsidRPr="00472452">
        <w:rPr>
          <w:rFonts w:ascii="Arial" w:hAnsi="Arial" w:cs="Arial"/>
          <w:sz w:val="20"/>
          <w:szCs w:val="20"/>
        </w:rPr>
        <w:t xml:space="preserve"> vērtības pieaugumu</w:t>
      </w:r>
      <w:r w:rsidR="008B6852" w:rsidRPr="008B6852">
        <w:rPr>
          <w:rFonts w:ascii="Arial" w:hAnsi="Arial" w:cs="Arial"/>
          <w:sz w:val="20"/>
          <w:szCs w:val="20"/>
        </w:rPr>
        <w:t xml:space="preserve"> </w:t>
      </w:r>
      <w:r w:rsidR="008B6852" w:rsidRPr="00472452">
        <w:rPr>
          <w:rFonts w:ascii="Arial" w:hAnsi="Arial" w:cs="Arial"/>
          <w:sz w:val="20"/>
          <w:szCs w:val="20"/>
        </w:rPr>
        <w:t>kādā no segmentiem</w:t>
      </w:r>
      <w:r w:rsidR="008B6852">
        <w:rPr>
          <w:rFonts w:ascii="Arial" w:hAnsi="Arial" w:cs="Arial"/>
          <w:sz w:val="20"/>
          <w:szCs w:val="20"/>
        </w:rPr>
        <w:t xml:space="preserve"> </w:t>
      </w:r>
      <w:r w:rsidR="008B6852" w:rsidRPr="00472452">
        <w:rPr>
          <w:rFonts w:ascii="Arial" w:hAnsi="Arial" w:cs="Arial"/>
          <w:sz w:val="20"/>
          <w:szCs w:val="20"/>
        </w:rPr>
        <w:t>maksas noteicējs pieteikumu iesniedzējiem</w:t>
      </w:r>
      <w:r w:rsidR="008B6852">
        <w:rPr>
          <w:rFonts w:ascii="Arial" w:hAnsi="Arial" w:cs="Arial"/>
          <w:sz w:val="20"/>
          <w:szCs w:val="20"/>
        </w:rPr>
        <w:t xml:space="preserve"> vai </w:t>
      </w:r>
      <w:r w:rsidR="005D4B7C">
        <w:rPr>
          <w:rFonts w:ascii="Arial" w:hAnsi="Arial" w:cs="Arial"/>
          <w:sz w:val="20"/>
          <w:szCs w:val="20"/>
        </w:rPr>
        <w:t>ekspertu grupai</w:t>
      </w:r>
      <w:r w:rsidR="005B6F26">
        <w:rPr>
          <w:rFonts w:ascii="Arial" w:hAnsi="Arial" w:cs="Arial"/>
          <w:sz w:val="20"/>
          <w:szCs w:val="20"/>
        </w:rPr>
        <w:t xml:space="preserve"> </w:t>
      </w:r>
      <w:r w:rsidR="008B6852" w:rsidRPr="00472452">
        <w:rPr>
          <w:rFonts w:ascii="Arial" w:hAnsi="Arial" w:cs="Arial"/>
          <w:sz w:val="20"/>
          <w:szCs w:val="20"/>
        </w:rPr>
        <w:t>nosūt</w:t>
      </w:r>
      <w:r w:rsidR="008B6852">
        <w:rPr>
          <w:rFonts w:ascii="Arial" w:hAnsi="Arial" w:cs="Arial"/>
          <w:sz w:val="20"/>
          <w:szCs w:val="20"/>
        </w:rPr>
        <w:t>a pieprasījumu novērtēt konkrētu tirgus segmentu pārvadājumu apjomu</w:t>
      </w:r>
      <w:r w:rsidR="008B6852" w:rsidRPr="00472452">
        <w:rPr>
          <w:rFonts w:ascii="Arial" w:hAnsi="Arial" w:cs="Arial"/>
          <w:sz w:val="20"/>
          <w:szCs w:val="20"/>
        </w:rPr>
        <w:t xml:space="preserve"> elastību atkarībā no potenciāli noteiktās infrastruktūras maksas kopējā maksājuma par 1 vilcienu km atbilstoši maksas noteicēja pieņēmumiem par vilcienu tehniskajiem parametriem:</w:t>
      </w:r>
    </w:p>
    <w:tbl>
      <w:tblPr>
        <w:tblStyle w:val="TableGrid1"/>
        <w:tblW w:w="4956" w:type="pct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495"/>
        <w:gridCol w:w="1486"/>
        <w:gridCol w:w="1486"/>
        <w:gridCol w:w="1710"/>
        <w:gridCol w:w="1170"/>
      </w:tblGrid>
      <w:tr w:rsidR="009D6E1C" w:rsidRPr="00472452" w14:paraId="37941B4C" w14:textId="77777777" w:rsidTr="009D6E1C">
        <w:trPr>
          <w:trHeight w:val="737"/>
        </w:trPr>
        <w:tc>
          <w:tcPr>
            <w:tcW w:w="901" w:type="pct"/>
            <w:vMerge w:val="restart"/>
            <w:tcBorders>
              <w:top w:val="double" w:sz="4" w:space="0" w:color="auto"/>
            </w:tcBorders>
            <w:vAlign w:val="center"/>
          </w:tcPr>
          <w:p w14:paraId="5E85909E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Plānotais pārvadājumu apjoms atkarībā no noteiktās infrastruktūras maksas</w:t>
            </w:r>
          </w:p>
        </w:tc>
        <w:tc>
          <w:tcPr>
            <w:tcW w:w="83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09DCC8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M 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s 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1 = TI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</w:p>
        </w:tc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67C744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2 = …</w:t>
            </w:r>
          </w:p>
        </w:tc>
        <w:tc>
          <w:tcPr>
            <w:tcW w:w="82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5430AD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3 = …</w:t>
            </w:r>
          </w:p>
        </w:tc>
        <w:tc>
          <w:tcPr>
            <w:tcW w:w="95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DC46CD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4 = …</w:t>
            </w:r>
          </w:p>
        </w:tc>
        <w:tc>
          <w:tcPr>
            <w:tcW w:w="65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94D3F5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>M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5 = PI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s</w:t>
            </w:r>
          </w:p>
        </w:tc>
      </w:tr>
      <w:tr w:rsidR="009D6E1C" w:rsidRPr="00472452" w14:paraId="063EF40F" w14:textId="77777777" w:rsidTr="009D6E1C">
        <w:tc>
          <w:tcPr>
            <w:tcW w:w="901" w:type="pct"/>
            <w:vMerge/>
            <w:tcBorders>
              <w:bottom w:val="double" w:sz="4" w:space="0" w:color="auto"/>
            </w:tcBorders>
            <w:vAlign w:val="center"/>
          </w:tcPr>
          <w:p w14:paraId="47E7FC6A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CB4520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maksa tiešo izmaksu līmenī</w:t>
            </w:r>
          </w:p>
        </w:tc>
        <w:tc>
          <w:tcPr>
            <w:tcW w:w="82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27B590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6C6D4674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82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34B4C5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7C07C14E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95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8FC213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starpvērtību</w:t>
            </w:r>
          </w:p>
          <w:p w14:paraId="36152CBE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intervāls</w:t>
            </w:r>
          </w:p>
        </w:tc>
        <w:tc>
          <w:tcPr>
            <w:tcW w:w="65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6246B1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sz w:val="18"/>
                <w:szCs w:val="18"/>
                <w:lang w:val="lv-LV"/>
              </w:rPr>
              <w:t>maksa pilno izmaksu līmenī</w:t>
            </w:r>
          </w:p>
        </w:tc>
      </w:tr>
      <w:tr w:rsidR="009D6E1C" w:rsidRPr="00472452" w14:paraId="71AFFD72" w14:textId="77777777" w:rsidTr="009D6E1C">
        <w:trPr>
          <w:trHeight w:val="764"/>
        </w:trPr>
        <w:tc>
          <w:tcPr>
            <w:tcW w:w="90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258B50" w14:textId="159D8528" w:rsidR="005B6F26" w:rsidRPr="00472452" w:rsidRDefault="005B6F26" w:rsidP="00250D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DR 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param 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>1520</w:t>
            </w:r>
            <w:r w:rsidRPr="00472452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 xml:space="preserve"> </w:t>
            </w:r>
            <w:r w:rsidR="00250D68">
              <w:rPr>
                <w:rFonts w:ascii="Arial" w:hAnsi="Arial" w:cs="Arial"/>
                <w:b/>
                <w:sz w:val="18"/>
                <w:szCs w:val="18"/>
                <w:vertAlign w:val="subscript"/>
                <w:lang w:val="lv-LV"/>
              </w:rPr>
              <w:t>s</w:t>
            </w:r>
          </w:p>
        </w:tc>
        <w:tc>
          <w:tcPr>
            <w:tcW w:w="83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5E47D1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8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5E8E8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82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4C6CD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9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7B7AFE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  <w:tc>
          <w:tcPr>
            <w:tcW w:w="65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2A37EA" w14:textId="77777777" w:rsidR="005B6F26" w:rsidRPr="00472452" w:rsidRDefault="005B6F26" w:rsidP="00B81CB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lv-LV"/>
              </w:rPr>
            </w:pPr>
            <w:r w:rsidRPr="00472452">
              <w:rPr>
                <w:rFonts w:ascii="Arial" w:hAnsi="Arial" w:cs="Arial"/>
                <w:i/>
                <w:sz w:val="18"/>
                <w:szCs w:val="18"/>
                <w:lang w:val="lv-LV"/>
              </w:rPr>
              <w:t>elastības vērtējums</w:t>
            </w:r>
          </w:p>
        </w:tc>
      </w:tr>
    </w:tbl>
    <w:p w14:paraId="6822A352" w14:textId="77777777" w:rsidR="005B6F26" w:rsidRDefault="005B6F26" w:rsidP="005B6F26">
      <w:pPr>
        <w:ind w:firstLine="426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384A64D3" w14:textId="7E22E60A" w:rsidR="005D4B7C" w:rsidRPr="005D4B7C" w:rsidRDefault="005D4B7C" w:rsidP="005D4B7C">
      <w:pPr>
        <w:spacing w:after="120"/>
        <w:ind w:firstLine="426"/>
        <w:jc w:val="both"/>
        <w:rPr>
          <w:rFonts w:ascii="Arial" w:hAnsi="Arial" w:cs="Arial"/>
          <w:sz w:val="20"/>
          <w:szCs w:val="20"/>
        </w:rPr>
      </w:pPr>
      <w:r w:rsidRPr="005D4B7C">
        <w:rPr>
          <w:rFonts w:ascii="Arial" w:hAnsi="Arial" w:cs="Arial"/>
          <w:b/>
          <w:sz w:val="20"/>
          <w:szCs w:val="20"/>
        </w:rPr>
        <w:t xml:space="preserve">J </w:t>
      </w:r>
      <w:r w:rsidRPr="005D4B7C">
        <w:rPr>
          <w:rFonts w:ascii="Arial" w:hAnsi="Arial" w:cs="Arial"/>
          <w:b/>
          <w:sz w:val="20"/>
          <w:szCs w:val="20"/>
          <w:vertAlign w:val="subscript"/>
        </w:rPr>
        <w:t xml:space="preserve">s </w:t>
      </w:r>
      <w:r w:rsidRPr="005D4B7C">
        <w:rPr>
          <w:rFonts w:ascii="Arial" w:hAnsi="Arial" w:cs="Arial"/>
          <w:sz w:val="20"/>
          <w:szCs w:val="20"/>
        </w:rPr>
        <w:t>vērtību iegūst, to izvēloties atbilstoši maksimālajai potenciālā pārvadājumu apjoma un konkrētam tirgus segmentam noteiktās maksas reizinājuma (</w:t>
      </w:r>
      <w:r w:rsidRPr="005D4B7C">
        <w:rPr>
          <w:rFonts w:ascii="Arial" w:hAnsi="Arial" w:cs="Arial"/>
          <w:b/>
          <w:sz w:val="20"/>
          <w:szCs w:val="20"/>
        </w:rPr>
        <w:t xml:space="preserve">DR </w:t>
      </w:r>
      <w:r w:rsidRPr="005D4B7C">
        <w:rPr>
          <w:rFonts w:ascii="Arial" w:hAnsi="Arial" w:cs="Arial"/>
          <w:b/>
          <w:sz w:val="20"/>
          <w:szCs w:val="20"/>
          <w:vertAlign w:val="subscript"/>
        </w:rPr>
        <w:t xml:space="preserve">param </w:t>
      </w:r>
      <w:r>
        <w:rPr>
          <w:rFonts w:ascii="Arial" w:hAnsi="Arial" w:cs="Arial"/>
          <w:b/>
          <w:sz w:val="20"/>
          <w:szCs w:val="20"/>
          <w:vertAlign w:val="subscript"/>
        </w:rPr>
        <w:t>1520</w:t>
      </w:r>
      <w:r w:rsidRPr="005D4B7C">
        <w:rPr>
          <w:rFonts w:ascii="Arial" w:hAnsi="Arial" w:cs="Arial"/>
          <w:b/>
          <w:sz w:val="20"/>
          <w:szCs w:val="20"/>
          <w:vertAlign w:val="subscript"/>
        </w:rPr>
        <w:t xml:space="preserve"> s </w:t>
      </w:r>
      <w:r w:rsidRPr="005D4B7C">
        <w:rPr>
          <w:rFonts w:ascii="Arial" w:hAnsi="Arial" w:cs="Arial"/>
          <w:b/>
          <w:sz w:val="20"/>
          <w:szCs w:val="20"/>
          <w:bdr w:val="none" w:sz="0" w:space="0" w:color="auto" w:frame="1"/>
        </w:rPr>
        <w:t>×</w:t>
      </w:r>
      <w:r w:rsidRPr="005D4B7C">
        <w:rPr>
          <w:rFonts w:ascii="Arial" w:hAnsi="Arial" w:cs="Arial"/>
          <w:b/>
          <w:sz w:val="20"/>
          <w:szCs w:val="20"/>
        </w:rPr>
        <w:t xml:space="preserve"> M </w:t>
      </w:r>
      <w:r w:rsidRPr="005D4B7C">
        <w:rPr>
          <w:rFonts w:ascii="Arial" w:hAnsi="Arial" w:cs="Arial"/>
          <w:b/>
          <w:sz w:val="20"/>
          <w:szCs w:val="20"/>
          <w:vertAlign w:val="subscript"/>
        </w:rPr>
        <w:t>s</w:t>
      </w:r>
      <w:r w:rsidRPr="005D4B7C">
        <w:rPr>
          <w:rFonts w:ascii="Arial" w:hAnsi="Arial" w:cs="Arial"/>
          <w:sz w:val="20"/>
          <w:szCs w:val="20"/>
        </w:rPr>
        <w:t>)</w:t>
      </w:r>
      <w:r w:rsidRPr="005D4B7C">
        <w:rPr>
          <w:rFonts w:ascii="Arial" w:hAnsi="Arial" w:cs="Arial"/>
          <w:b/>
          <w:sz w:val="20"/>
          <w:szCs w:val="20"/>
        </w:rPr>
        <w:t xml:space="preserve"> </w:t>
      </w:r>
      <w:r w:rsidRPr="005D4B7C">
        <w:rPr>
          <w:rFonts w:ascii="Arial" w:hAnsi="Arial" w:cs="Arial"/>
          <w:sz w:val="20"/>
          <w:szCs w:val="20"/>
        </w:rPr>
        <w:t xml:space="preserve">vērtībai. </w:t>
      </w:r>
      <w:r w:rsidRPr="005D4B7C">
        <w:rPr>
          <w:rFonts w:ascii="Arial" w:hAnsi="Arial" w:cs="Arial"/>
          <w:b/>
          <w:sz w:val="20"/>
          <w:szCs w:val="20"/>
        </w:rPr>
        <w:t xml:space="preserve">J </w:t>
      </w:r>
      <w:r w:rsidRPr="005D4B7C">
        <w:rPr>
          <w:rFonts w:ascii="Arial" w:hAnsi="Arial" w:cs="Arial"/>
          <w:b/>
          <w:sz w:val="20"/>
          <w:szCs w:val="20"/>
          <w:vertAlign w:val="subscript"/>
        </w:rPr>
        <w:t>s</w:t>
      </w:r>
      <w:r w:rsidRPr="005D4B7C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5D4B7C">
        <w:rPr>
          <w:rFonts w:ascii="Arial" w:hAnsi="Arial" w:cs="Arial"/>
          <w:sz w:val="20"/>
          <w:szCs w:val="20"/>
        </w:rPr>
        <w:t>vērtību izsaka decimālskaitļos un noapaļo līdz 2 zīmēm aiz komata, un samazina līdz 1, ja tā pārsniedz šo vērtību.</w:t>
      </w:r>
      <w:r>
        <w:rPr>
          <w:rFonts w:ascii="Arial" w:hAnsi="Arial" w:cs="Arial"/>
          <w:sz w:val="20"/>
          <w:szCs w:val="20"/>
          <w:lang w:val="lv-LV"/>
        </w:rPr>
        <w:t>";</w:t>
      </w:r>
    </w:p>
    <w:p w14:paraId="385CD26E" w14:textId="5AACB878" w:rsidR="00F91BF8" w:rsidRDefault="00F91BF8" w:rsidP="00F91BF8">
      <w:pPr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r>
        <w:rPr>
          <w:rFonts w:ascii="Arial" w:hAnsi="Arial" w:cs="Arial"/>
          <w:sz w:val="20"/>
          <w:szCs w:val="20"/>
          <w:lang w:val="lv-LV"/>
        </w:rPr>
        <w:t>izteikt</w:t>
      </w:r>
      <w:r w:rsidRPr="0040041A">
        <w:rPr>
          <w:rFonts w:ascii="Arial" w:hAnsi="Arial" w:cs="Arial"/>
          <w:sz w:val="20"/>
          <w:szCs w:val="20"/>
          <w:lang w:val="lv-LV"/>
        </w:rPr>
        <w:t xml:space="preserve"> shēmas </w:t>
      </w:r>
      <w:r>
        <w:rPr>
          <w:rFonts w:ascii="Arial" w:hAnsi="Arial" w:cs="Arial"/>
          <w:sz w:val="20"/>
          <w:szCs w:val="20"/>
          <w:lang w:val="lv-LV"/>
        </w:rPr>
        <w:t>6</w:t>
      </w:r>
      <w:r w:rsidRPr="0040041A">
        <w:rPr>
          <w:rFonts w:ascii="Arial" w:hAnsi="Arial" w:cs="Arial"/>
          <w:sz w:val="20"/>
          <w:szCs w:val="20"/>
          <w:lang w:val="lv-LV"/>
        </w:rPr>
        <w:t>.pielikum</w:t>
      </w:r>
      <w:r>
        <w:rPr>
          <w:rFonts w:ascii="Arial" w:hAnsi="Arial" w:cs="Arial"/>
          <w:sz w:val="20"/>
          <w:szCs w:val="20"/>
          <w:lang w:val="lv-LV"/>
        </w:rPr>
        <w:t xml:space="preserve">a </w:t>
      </w:r>
      <w:r>
        <w:rPr>
          <w:rFonts w:ascii="Arial" w:hAnsi="Arial" w:cs="Arial"/>
          <w:sz w:val="20"/>
          <w:szCs w:val="20"/>
        </w:rPr>
        <w:t>9.punktu šādā redakcijā:</w:t>
      </w:r>
    </w:p>
    <w:p w14:paraId="2C821D52" w14:textId="07DD881A" w:rsidR="00F91BF8" w:rsidRDefault="00724679" w:rsidP="00724679">
      <w:pPr>
        <w:spacing w:after="120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lv-LV"/>
        </w:rPr>
        <w:t>"</w:t>
      </w:r>
      <w:r w:rsidR="00F91BF8" w:rsidRPr="007104B2">
        <w:rPr>
          <w:rFonts w:ascii="Arial" w:hAnsi="Arial" w:cs="Arial"/>
          <w:sz w:val="20"/>
          <w:szCs w:val="20"/>
        </w:rPr>
        <w:t xml:space="preserve">9. Maksas noteicējs maksas palielinājuma lielumus </w:t>
      </w:r>
      <w:r w:rsidR="00F91BF8" w:rsidRPr="007104B2">
        <w:rPr>
          <w:rFonts w:ascii="Arial" w:hAnsi="Arial" w:cs="Arial"/>
          <w:b/>
          <w:sz w:val="20"/>
          <w:szCs w:val="20"/>
        </w:rPr>
        <w:t xml:space="preserve">MP </w:t>
      </w:r>
      <w:r w:rsidR="00F91BF8" w:rsidRPr="007104B2">
        <w:rPr>
          <w:rFonts w:ascii="Arial" w:hAnsi="Arial" w:cs="Arial"/>
          <w:b/>
          <w:sz w:val="20"/>
          <w:szCs w:val="20"/>
          <w:vertAlign w:val="subscript"/>
        </w:rPr>
        <w:t>param 1520 s</w:t>
      </w:r>
      <w:r w:rsidR="00F91BF8" w:rsidRPr="007104B2">
        <w:rPr>
          <w:rFonts w:ascii="Arial" w:hAnsi="Arial" w:cs="Arial"/>
          <w:sz w:val="20"/>
          <w:szCs w:val="20"/>
        </w:rPr>
        <w:t xml:space="preserve"> starptautiskajā 1520 kustībā piemēro </w:t>
      </w:r>
      <w:r w:rsidR="00B8246F">
        <w:rPr>
          <w:rFonts w:ascii="Arial" w:hAnsi="Arial" w:cs="Arial"/>
          <w:sz w:val="20"/>
          <w:szCs w:val="20"/>
        </w:rPr>
        <w:t>dažādos</w:t>
      </w:r>
      <w:r w:rsidR="00F91BF8" w:rsidRPr="007104B2">
        <w:rPr>
          <w:rFonts w:ascii="Arial" w:hAnsi="Arial" w:cs="Arial"/>
          <w:sz w:val="20"/>
          <w:szCs w:val="20"/>
        </w:rPr>
        <w:t xml:space="preserve"> tirgus segmentos</w:t>
      </w:r>
      <w:r w:rsidR="00B8246F">
        <w:rPr>
          <w:rFonts w:ascii="Arial" w:hAnsi="Arial" w:cs="Arial"/>
          <w:sz w:val="20"/>
          <w:szCs w:val="20"/>
        </w:rPr>
        <w:t xml:space="preserve"> atbilstoši šādam tirgus segmentu sarakstam</w:t>
      </w:r>
      <w:r w:rsidR="00F91BF8" w:rsidRPr="007104B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1295"/>
        <w:gridCol w:w="1843"/>
        <w:gridCol w:w="1984"/>
        <w:gridCol w:w="2112"/>
      </w:tblGrid>
      <w:tr w:rsidR="00F91BF8" w:rsidRPr="007104B2" w14:paraId="17572341" w14:textId="77777777" w:rsidTr="00F91BF8"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8AD7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sz w:val="14"/>
                <w:szCs w:val="14"/>
              </w:rPr>
              <w:t>Tirgus segmenta nosaukums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087C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Tirgus segmenta </w:t>
            </w:r>
            <w:r w:rsidRPr="007104B2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s</w:t>
            </w:r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apzīmējums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799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 segmenta</w:t>
            </w:r>
          </w:p>
          <w:p w14:paraId="6BA7174B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noteikšanas pazīmes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3599BA" w14:textId="2C1BC66A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Citas īpašas tirgus segmenta noteikšanas pazīmes</w:t>
            </w:r>
          </w:p>
        </w:tc>
      </w:tr>
      <w:tr w:rsidR="00F91BF8" w:rsidRPr="007104B2" w14:paraId="250C1E1B" w14:textId="77777777" w:rsidTr="00F91BF8">
        <w:trPr>
          <w:trHeight w:val="185"/>
        </w:trPr>
        <w:tc>
          <w:tcPr>
            <w:tcW w:w="18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2E50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614C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56DC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kravu kustībā - vilciena indekss     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E2FCE1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91BF8" w:rsidRPr="007104B2" w14:paraId="4D852C85" w14:textId="77777777" w:rsidTr="00F91BF8">
        <w:tc>
          <w:tcPr>
            <w:tcW w:w="180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BA788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6EF4F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7A0E8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pirmā grupa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4E41C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trešā grupa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8AFDB84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91BF8" w:rsidRPr="007104B2" w14:paraId="5935277E" w14:textId="77777777" w:rsidTr="00B81CB0">
        <w:trPr>
          <w:trHeight w:val="332"/>
        </w:trPr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09D4CB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Starptautiskā 1520 kustība</w:t>
            </w:r>
          </w:p>
        </w:tc>
      </w:tr>
      <w:tr w:rsidR="00F91BF8" w:rsidRPr="007104B2" w14:paraId="22576435" w14:textId="589FFAF6" w:rsidTr="00F91BF8">
        <w:trPr>
          <w:trHeight w:val="32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FD5" w14:textId="37437686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konteiner</w:t>
            </w:r>
            <w:r w:rsidRPr="00AF74B1">
              <w:rPr>
                <w:rFonts w:ascii="Arial" w:hAnsi="Arial" w:cs="Arial"/>
                <w:color w:val="000000"/>
                <w:sz w:val="14"/>
                <w:szCs w:val="14"/>
              </w:rPr>
              <w:t>kravu pārvadājumi starptautiskajā 1520 kustībā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3E6D" w14:textId="39A32FFB" w:rsidR="00F91BF8" w:rsidRPr="001703A9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  <w:r w:rsidRPr="001703A9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kontein 1520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E464" w14:textId="75B4F783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FD4" w14:textId="77777777" w:rsidR="00F91BF8" w:rsidRPr="007104B2" w:rsidRDefault="00F91BF8" w:rsidP="00B8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pieostu saņemšanas stacija LDZ tīklā, saņemšanas stacija LDZ tīklā vai </w:t>
            </w:r>
          </w:p>
          <w:p w14:paraId="13E08A8A" w14:textId="66484139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 tā (EEZ ietvaros)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B8AEF" w14:textId="3AC7AECC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kravu pārvadājumiem no trešajām valstīm vai uz trešajām valstīm, kuru dzelzceļa tīkla sliežu platums ir 1520 milimetri, bez apstrādes pārstrādes, vagonu piekabināšanas vai atkabināšanas stacijā, vilciens ietilpst starptautisko konteinervilcienu sarakstā</w:t>
            </w:r>
          </w:p>
        </w:tc>
      </w:tr>
      <w:tr w:rsidR="00F91BF8" w:rsidRPr="007104B2" w14:paraId="049FC8DD" w14:textId="77777777" w:rsidTr="00F91BF8">
        <w:trPr>
          <w:trHeight w:val="52"/>
        </w:trPr>
        <w:tc>
          <w:tcPr>
            <w:tcW w:w="18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A56F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5602" w14:textId="77777777" w:rsidR="00F91BF8" w:rsidRPr="001703A9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4737" w14:textId="77777777" w:rsidR="00F91BF8" w:rsidRPr="007104B2" w:rsidRDefault="00F91BF8" w:rsidP="00B81C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nosūtīšanas pieeostu stacija LDZ tīklā, </w:t>
            </w:r>
          </w:p>
          <w:p w14:paraId="0E447DE5" w14:textId="1920CEBE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 vai ārpus tā (EEZ ietvaros)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74B5" w14:textId="7CFB03F1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03EA2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91BF8" w:rsidRPr="007104B2" w14:paraId="28655887" w14:textId="77777777" w:rsidTr="00F91BF8">
        <w:trPr>
          <w:trHeight w:val="52"/>
        </w:trPr>
        <w:tc>
          <w:tcPr>
            <w:tcW w:w="180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DF50F9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20432" w14:textId="77777777" w:rsidR="00F91BF8" w:rsidRPr="001703A9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7E4A8" w14:textId="1AA8069F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BE091" w14:textId="44D32565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92E4EF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91BF8" w:rsidRPr="007104B2" w14:paraId="052828B4" w14:textId="77777777" w:rsidTr="00F91BF8">
        <w:trPr>
          <w:trHeight w:val="609"/>
        </w:trPr>
        <w:tc>
          <w:tcPr>
            <w:tcW w:w="1807" w:type="dxa"/>
            <w:vMerge w:val="restart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EC01" w14:textId="4F305C93" w:rsidR="00F91BF8" w:rsidRPr="00AF74B1" w:rsidRDefault="00724679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akmeņogļu kravu</w:t>
            </w:r>
            <w:r w:rsidR="00F91BF8" w:rsidRPr="00AF74B1">
              <w:rPr>
                <w:rFonts w:ascii="Arial" w:hAnsi="Arial" w:cs="Arial"/>
                <w:color w:val="000000"/>
                <w:sz w:val="14"/>
                <w:szCs w:val="14"/>
              </w:rPr>
              <w:t xml:space="preserve"> pārvadājumi starptautiskajā 1520 kustībā</w:t>
            </w:r>
          </w:p>
        </w:tc>
        <w:tc>
          <w:tcPr>
            <w:tcW w:w="129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DD66" w14:textId="28E0F723" w:rsidR="00F91BF8" w:rsidRPr="001703A9" w:rsidRDefault="00724679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r w:rsidRPr="001703A9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ogl</w:t>
            </w:r>
            <w:r w:rsidR="00F91BF8" w:rsidRPr="001703A9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4F46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F344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pieostu saņemšanas stacija LDZ tīklā, saņemšanas stacija LDZ tīklā vai </w:t>
            </w:r>
          </w:p>
          <w:p w14:paraId="01EE5272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 tā (EEZ ietvaros)</w:t>
            </w:r>
          </w:p>
        </w:tc>
        <w:tc>
          <w:tcPr>
            <w:tcW w:w="2112" w:type="dxa"/>
            <w:vMerge w:val="restart"/>
            <w:tcBorders>
              <w:top w:val="doub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97B0FC" w14:textId="77777777" w:rsidR="00724679" w:rsidRPr="007104B2" w:rsidRDefault="00724679" w:rsidP="00724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kravu pārvadājumiem no trešajām valstīm vai uz trešajām valstīm, kuru dzelzceļa tīkla sliežu platums ir 1520 milimetri, ir pieļaujama citu grupu vagonu piekabināšana pārstrādes, vagonu piekabināšanas vai atkabināšanas stacijā,       </w:t>
            </w:r>
          </w:p>
          <w:p w14:paraId="2EDD919E" w14:textId="19898DCC" w:rsidR="00F91BF8" w:rsidRPr="007104B2" w:rsidRDefault="00724679" w:rsidP="00724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ja tajā netiek mainīts vilciena indekss</w:t>
            </w:r>
          </w:p>
        </w:tc>
      </w:tr>
      <w:tr w:rsidR="00F91BF8" w:rsidRPr="007104B2" w14:paraId="11916169" w14:textId="77777777" w:rsidTr="00F91BF8">
        <w:trPr>
          <w:trHeight w:val="645"/>
        </w:trPr>
        <w:tc>
          <w:tcPr>
            <w:tcW w:w="18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44C0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05EE7" w14:textId="77777777" w:rsidR="00F91BF8" w:rsidRPr="001703A9" w:rsidRDefault="00F91BF8" w:rsidP="00F91B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A627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nosūtīšanas pieeostu stacija LDZ tīklā, </w:t>
            </w:r>
          </w:p>
          <w:p w14:paraId="5913DEAA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 vai ārpus tā (EEZ ietvaros)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F7F2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5A1F719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91BF8" w:rsidRPr="007104B2" w14:paraId="2B671619" w14:textId="77777777" w:rsidTr="00F91BF8">
        <w:trPr>
          <w:trHeight w:val="645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F21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B217E" w14:textId="77777777" w:rsidR="00F91BF8" w:rsidRPr="001703A9" w:rsidRDefault="00F91BF8" w:rsidP="00F91B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A3B5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34CA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701A6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91BF8" w:rsidRPr="007104B2" w14:paraId="74748821" w14:textId="77777777" w:rsidTr="00F91BF8">
        <w:trPr>
          <w:trHeight w:val="810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9ED" w14:textId="77777777" w:rsidR="00F91BF8" w:rsidRPr="00AF74B1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F74B1">
              <w:rPr>
                <w:rFonts w:ascii="Arial" w:hAnsi="Arial" w:cs="Arial"/>
                <w:color w:val="000000"/>
                <w:sz w:val="14"/>
                <w:szCs w:val="14"/>
              </w:rPr>
              <w:t>citi kravu pārvadājumi starptautiskajā 1520 kustībā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F74" w14:textId="77777777" w:rsidR="00F91BF8" w:rsidRPr="001703A9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r w:rsidRPr="001703A9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citi 1520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347C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4FE4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pieostu saņemšanas stacija LDZ tīklā, saņemšanas stacija LDZ tīklā vai </w:t>
            </w:r>
          </w:p>
          <w:p w14:paraId="6B5FA54F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 tā (EEZ ietvaros)</w:t>
            </w:r>
          </w:p>
        </w:tc>
        <w:tc>
          <w:tcPr>
            <w:tcW w:w="211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55AC7A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kravu pārvadājumiem no trešajām valstīm vai uz trešajām valstīm, kuru dzelzceļa tīkla sliežu platums ir 1520 milimetri, ir pieļaujama citu grupu vagonu piekabināšana pārstrādes, vagonu piekabināšanas vai atkabināšanas stacijā,       </w:t>
            </w:r>
          </w:p>
          <w:p w14:paraId="24C6AA00" w14:textId="4D117BBD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ja tajā netiek mainīts vilciena indekss</w:t>
            </w:r>
          </w:p>
        </w:tc>
      </w:tr>
      <w:tr w:rsidR="00F91BF8" w:rsidRPr="007104B2" w14:paraId="6963EB3F" w14:textId="77777777" w:rsidTr="00F91BF8">
        <w:trPr>
          <w:trHeight w:val="808"/>
        </w:trPr>
        <w:tc>
          <w:tcPr>
            <w:tcW w:w="1807" w:type="dxa"/>
            <w:vMerge/>
            <w:tcBorders>
              <w:top w:val="nil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975ACA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DA84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B957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nosūtīšanas pieeostu stacija LDZ tīklā, </w:t>
            </w:r>
          </w:p>
          <w:p w14:paraId="4BA43212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LDZ tīklā vai ārpus tā (EEZ ietvaros)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B2DB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8D75EFD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91BF8" w:rsidRPr="007104B2" w14:paraId="32DFDF3C" w14:textId="77777777" w:rsidTr="00F91BF8">
        <w:trPr>
          <w:trHeight w:val="677"/>
        </w:trPr>
        <w:tc>
          <w:tcPr>
            <w:tcW w:w="180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4B9D6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9A1A71" w14:textId="77777777" w:rsidR="00F91BF8" w:rsidRPr="007104B2" w:rsidRDefault="00F91BF8" w:rsidP="00F91B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1067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 stacija ārpus EEZ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7D3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 stacija ārpus EEZ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195E3" w14:textId="77777777" w:rsidR="00F91BF8" w:rsidRPr="007104B2" w:rsidRDefault="00F91BF8" w:rsidP="00F91B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6AC8B9A" w14:textId="74745601" w:rsidR="00141662" w:rsidRPr="00141662" w:rsidRDefault="001B7567" w:rsidP="00141662">
      <w:pPr>
        <w:spacing w:after="0"/>
        <w:rPr>
          <w:rFonts w:ascii="Arial" w:hAnsi="Arial" w:cs="Arial"/>
          <w:i/>
          <w:sz w:val="16"/>
          <w:szCs w:val="20"/>
          <w:lang w:val="lv-LV"/>
        </w:rPr>
      </w:pPr>
      <w:r w:rsidRPr="00141662">
        <w:rPr>
          <w:rFonts w:ascii="Arial" w:hAnsi="Arial" w:cs="Arial"/>
          <w:i/>
          <w:sz w:val="16"/>
          <w:szCs w:val="20"/>
          <w:lang w:val="lv-LV"/>
        </w:rPr>
        <w:t>*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 xml:space="preserve"> </w:t>
      </w:r>
      <w:r w:rsidR="00141662" w:rsidRPr="00141662">
        <w:rPr>
          <w:rFonts w:ascii="Arial" w:hAnsi="Arial" w:cs="Arial"/>
          <w:i/>
          <w:sz w:val="16"/>
          <w:szCs w:val="20"/>
          <w:lang w:val="lv-LV"/>
        </w:rPr>
        <w:t>V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 xml:space="preserve">ispārējā gadījumā </w:t>
      </w:r>
      <w:r w:rsidR="00141662" w:rsidRPr="00141662">
        <w:rPr>
          <w:rFonts w:ascii="Arial" w:hAnsi="Arial" w:cs="Arial"/>
          <w:i/>
          <w:sz w:val="16"/>
          <w:szCs w:val="20"/>
          <w:lang w:val="lv-LV"/>
        </w:rPr>
        <w:t xml:space="preserve">segmentu saraksts attiecas 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>uz maršruta vilcieniem starptautiskajā 1520 kustībā</w:t>
      </w:r>
      <w:r w:rsidR="00141662" w:rsidRPr="00141662">
        <w:rPr>
          <w:rFonts w:ascii="Arial" w:hAnsi="Arial" w:cs="Arial"/>
          <w:i/>
          <w:sz w:val="16"/>
          <w:szCs w:val="20"/>
          <w:lang w:val="lv-LV"/>
        </w:rPr>
        <w:t>. Vi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 xml:space="preserve">lcieniem 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>starptautiskajā 1520 kustībā</w:t>
      </w:r>
      <w:r w:rsidR="0073359E" w:rsidRPr="00141662">
        <w:rPr>
          <w:rFonts w:ascii="Arial" w:hAnsi="Arial" w:cs="Arial"/>
          <w:i/>
          <w:sz w:val="16"/>
          <w:szCs w:val="20"/>
          <w:lang w:val="lv-LV"/>
        </w:rPr>
        <w:t>, kas saformēti no vagonu grupām Latvijas teritorijā</w:t>
      </w:r>
      <w:r w:rsidR="00141662" w:rsidRPr="00141662">
        <w:rPr>
          <w:rFonts w:ascii="Arial" w:hAnsi="Arial" w:cs="Arial"/>
          <w:i/>
          <w:sz w:val="16"/>
          <w:szCs w:val="20"/>
          <w:lang w:val="lv-LV"/>
        </w:rPr>
        <w:t>, tirgus segmentu nosaka saskaņā ar vagonu uzskaites kārtībā paredzēto nodrošinājumu.</w:t>
      </w:r>
    </w:p>
    <w:p w14:paraId="2E145402" w14:textId="77777777" w:rsidR="00141662" w:rsidRPr="00141662" w:rsidRDefault="00141662" w:rsidP="00141662">
      <w:pPr>
        <w:spacing w:after="0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FB6E3AB" w14:textId="064908A4" w:rsidR="00724679" w:rsidRDefault="00724679" w:rsidP="00724679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";</w:t>
      </w:r>
    </w:p>
    <w:p w14:paraId="1935479D" w14:textId="77777777" w:rsidR="00A5608E" w:rsidRDefault="00A5608E" w:rsidP="00A5608E">
      <w:pPr>
        <w:ind w:firstLine="426"/>
        <w:rPr>
          <w:rFonts w:ascii="Arial" w:hAnsi="Arial" w:cs="Arial"/>
          <w:sz w:val="20"/>
          <w:szCs w:val="20"/>
        </w:rPr>
      </w:pPr>
      <w:r w:rsidRPr="00A5608E">
        <w:rPr>
          <w:rFonts w:ascii="Arial" w:hAnsi="Arial" w:cs="Arial"/>
          <w:sz w:val="20"/>
          <w:szCs w:val="20"/>
          <w:lang w:val="lv-LV"/>
        </w:rPr>
        <w:t>1.4. svītrot shēmas 6.pielikuma</w:t>
      </w:r>
      <w:r>
        <w:rPr>
          <w:rFonts w:ascii="Arial" w:hAnsi="Arial" w:cs="Arial"/>
          <w:sz w:val="20"/>
          <w:szCs w:val="20"/>
          <w:lang w:val="lv-LV"/>
        </w:rPr>
        <w:t xml:space="preserve"> 13., 14. un 15.punktu.</w:t>
      </w:r>
    </w:p>
    <w:p w14:paraId="5FC45906" w14:textId="71A69E70" w:rsidR="001B6802" w:rsidRPr="00A5608E" w:rsidRDefault="001B6802" w:rsidP="00EE5C40">
      <w:pPr>
        <w:ind w:firstLine="426"/>
        <w:rPr>
          <w:rFonts w:ascii="Arial" w:hAnsi="Arial" w:cs="Arial"/>
          <w:sz w:val="20"/>
          <w:szCs w:val="20"/>
        </w:rPr>
      </w:pPr>
      <w:r w:rsidRPr="00EF1887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EF1887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EF1887">
        <w:rPr>
          <w:rFonts w:ascii="Arial" w:hAnsi="Arial" w:cs="Arial"/>
          <w:sz w:val="20"/>
          <w:szCs w:val="20"/>
          <w:lang w:val="lv-LV"/>
        </w:rPr>
        <w:t>.</w:t>
      </w:r>
    </w:p>
    <w:p w14:paraId="70966C52" w14:textId="77777777" w:rsidR="00EE5C40" w:rsidRDefault="001B6802" w:rsidP="00EE5C40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37F3225B" w14:textId="77777777" w:rsidR="00EE5C40" w:rsidRDefault="00EE5C40" w:rsidP="00EE5C40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3419664F" w14:textId="55C66A91" w:rsidR="001B6802" w:rsidRPr="00EF1887" w:rsidRDefault="001B6802" w:rsidP="00EE5C40">
      <w:pPr>
        <w:pStyle w:val="ListParagraph"/>
        <w:spacing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4. Sūdzību par šiem grozījumiem saskaņā ar Dzelzceļa likuma 1</w:t>
      </w:r>
      <w:r w:rsidR="00220179" w:rsidRPr="00EF1887">
        <w:rPr>
          <w:rFonts w:ascii="Arial" w:hAnsi="Arial" w:cs="Arial"/>
          <w:sz w:val="20"/>
          <w:szCs w:val="20"/>
          <w:lang w:val="lv-LV"/>
        </w:rPr>
        <w:t>1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220179" w:rsidRPr="00EF1887">
        <w:rPr>
          <w:rFonts w:ascii="Arial" w:hAnsi="Arial" w:cs="Arial"/>
          <w:sz w:val="20"/>
          <w:szCs w:val="20"/>
          <w:lang w:val="lv-LV"/>
        </w:rPr>
        <w:t>divpadsmito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EF1887">
        <w:rPr>
          <w:rFonts w:ascii="Arial" w:hAnsi="Arial" w:cs="Arial"/>
          <w:sz w:val="20"/>
          <w:szCs w:val="20"/>
          <w:lang w:val="lv-LV"/>
        </w:rPr>
        <w:t>D</w:t>
      </w:r>
      <w:r w:rsidRPr="00EF1887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4D76BA1E" w14:textId="77777777" w:rsidR="00567E8C" w:rsidRPr="00EF1887" w:rsidRDefault="00567E8C" w:rsidP="00EE5C40">
      <w:pPr>
        <w:pStyle w:val="ListParagraph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ECEED6F" w14:textId="77777777" w:rsidR="00E67E0D" w:rsidRDefault="00E67E0D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4377A1AD" w14:textId="77777777" w:rsidR="00567E8C" w:rsidRPr="00EF1887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AS "LatRailNet"</w:t>
      </w:r>
    </w:p>
    <w:p w14:paraId="241DC098" w14:textId="664AF3A6" w:rsidR="00B44E4A" w:rsidRDefault="00BC03DE" w:rsidP="00B44E4A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Infrastruktūras maksas</w:t>
      </w:r>
      <w:r w:rsidRPr="00BC03DE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noteikšanas</w:t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3D28CF">
        <w:rPr>
          <w:rFonts w:ascii="Arial" w:hAnsi="Arial" w:cs="Arial"/>
          <w:sz w:val="20"/>
          <w:szCs w:val="20"/>
          <w:lang w:val="lv-LV"/>
        </w:rPr>
        <w:tab/>
      </w:r>
      <w:r w:rsidR="00567E8C" w:rsidRPr="00EF1887">
        <w:rPr>
          <w:rFonts w:ascii="Arial" w:hAnsi="Arial" w:cs="Arial"/>
          <w:sz w:val="20"/>
          <w:szCs w:val="20"/>
          <w:lang w:val="lv-LV"/>
        </w:rPr>
        <w:t>M.Andiņš</w:t>
      </w:r>
    </w:p>
    <w:p w14:paraId="4DAD66BA" w14:textId="104ADD97" w:rsidR="00BC03DE" w:rsidRPr="00B44E4A" w:rsidRDefault="00BC03DE" w:rsidP="00BC03DE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pārvaldes</w:t>
      </w:r>
      <w:r w:rsidRPr="00BC03DE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direktors</w:t>
      </w:r>
    </w:p>
    <w:p w14:paraId="366A5DF8" w14:textId="6DE1D346" w:rsidR="00BC03DE" w:rsidRDefault="00BC03DE" w:rsidP="00B44E4A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4F257A9C" w14:textId="77777777" w:rsidR="00B44E4A" w:rsidRDefault="00B44E4A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6BDD8A43" w14:textId="77777777" w:rsidR="00B44E4A" w:rsidRDefault="00B44E4A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10012E03" w14:textId="77777777" w:rsidR="00B44E4A" w:rsidRPr="00DF56C9" w:rsidRDefault="00B44E4A" w:rsidP="00DF56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lv-LV"/>
        </w:rPr>
      </w:pPr>
    </w:p>
    <w:p w14:paraId="184EEC14" w14:textId="774B0EAF" w:rsidR="00B44E4A" w:rsidRPr="003D28CF" w:rsidRDefault="003D28CF" w:rsidP="009D11C7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3D28CF">
        <w:rPr>
          <w:rFonts w:ascii="Arial" w:hAnsi="Arial" w:cs="Arial"/>
          <w:b/>
          <w:sz w:val="20"/>
          <w:szCs w:val="20"/>
          <w:lang w:val="lv-LV"/>
        </w:rPr>
        <w:t>ŠIS DOKUMENTS IR PARAKSTĪTS AR DROŠU ELEKTRONISKO PARAKSTU</w:t>
      </w:r>
    </w:p>
    <w:sectPr w:rsidR="00B44E4A" w:rsidRPr="003D28CF" w:rsidSect="00D0530F">
      <w:headerReference w:type="default" r:id="rId8"/>
      <w:headerReference w:type="first" r:id="rId9"/>
      <w:footnotePr>
        <w:numStart w:val="3"/>
      </w:footnotePr>
      <w:pgSz w:w="11906" w:h="16838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A52A9" w14:textId="77777777" w:rsidR="00B948B9" w:rsidRDefault="00B948B9" w:rsidP="000A6278">
      <w:pPr>
        <w:spacing w:after="0" w:line="240" w:lineRule="auto"/>
      </w:pPr>
      <w:r>
        <w:separator/>
      </w:r>
    </w:p>
  </w:endnote>
  <w:endnote w:type="continuationSeparator" w:id="0">
    <w:p w14:paraId="5D7EBA01" w14:textId="77777777" w:rsidR="00B948B9" w:rsidRDefault="00B948B9" w:rsidP="000A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CEE6" w14:textId="77777777" w:rsidR="00B948B9" w:rsidRDefault="00B948B9" w:rsidP="000A6278">
      <w:pPr>
        <w:spacing w:after="0" w:line="240" w:lineRule="auto"/>
      </w:pPr>
      <w:r>
        <w:separator/>
      </w:r>
    </w:p>
  </w:footnote>
  <w:footnote w:type="continuationSeparator" w:id="0">
    <w:p w14:paraId="0B67978D" w14:textId="77777777" w:rsidR="00B948B9" w:rsidRDefault="00B948B9" w:rsidP="000A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04749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76499" w14:textId="77777777" w:rsidR="00365AA2" w:rsidRDefault="00365AA2">
        <w:pPr>
          <w:pStyle w:val="Header"/>
          <w:jc w:val="center"/>
          <w:rPr>
            <w:rFonts w:ascii="Arial" w:hAnsi="Arial" w:cs="Arial"/>
          </w:rPr>
        </w:pPr>
      </w:p>
      <w:p w14:paraId="787AE698" w14:textId="79CE573F" w:rsidR="00365AA2" w:rsidRPr="000806BE" w:rsidRDefault="00365AA2">
        <w:pPr>
          <w:pStyle w:val="Header"/>
          <w:jc w:val="center"/>
          <w:rPr>
            <w:rFonts w:ascii="Arial" w:hAnsi="Arial" w:cs="Arial"/>
          </w:rPr>
        </w:pPr>
        <w:r w:rsidRPr="000806BE">
          <w:rPr>
            <w:rFonts w:ascii="Arial" w:hAnsi="Arial" w:cs="Arial"/>
          </w:rPr>
          <w:fldChar w:fldCharType="begin"/>
        </w:r>
        <w:r w:rsidRPr="000806BE">
          <w:rPr>
            <w:rFonts w:ascii="Arial" w:hAnsi="Arial" w:cs="Arial"/>
          </w:rPr>
          <w:instrText xml:space="preserve"> PAGE   \* MERGEFORMAT </w:instrText>
        </w:r>
        <w:r w:rsidRPr="000806BE">
          <w:rPr>
            <w:rFonts w:ascii="Arial" w:hAnsi="Arial" w:cs="Arial"/>
          </w:rPr>
          <w:fldChar w:fldCharType="separate"/>
        </w:r>
        <w:r w:rsidR="00393534">
          <w:rPr>
            <w:rFonts w:ascii="Arial" w:hAnsi="Arial" w:cs="Arial"/>
            <w:noProof/>
          </w:rPr>
          <w:t>3</w:t>
        </w:r>
        <w:r w:rsidRPr="000806BE">
          <w:rPr>
            <w:rFonts w:ascii="Arial" w:hAnsi="Arial" w:cs="Arial"/>
            <w:noProof/>
          </w:rPr>
          <w:fldChar w:fldCharType="end"/>
        </w:r>
      </w:p>
    </w:sdtContent>
  </w:sdt>
  <w:p w14:paraId="1DED4B15" w14:textId="77777777" w:rsidR="00365AA2" w:rsidRPr="000806BE" w:rsidRDefault="00365AA2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F25A1" w14:textId="77777777" w:rsidR="00365AA2" w:rsidRDefault="00365AA2">
    <w:pPr>
      <w:pStyle w:val="Header"/>
      <w:jc w:val="center"/>
    </w:pPr>
  </w:p>
  <w:p w14:paraId="75B3749E" w14:textId="77777777" w:rsidR="00365AA2" w:rsidRDefault="00365A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7DAB5E64"/>
    <w:multiLevelType w:val="multilevel"/>
    <w:tmpl w:val="C93446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3"/>
    <w:rsid w:val="00002796"/>
    <w:rsid w:val="00004821"/>
    <w:rsid w:val="00004DAC"/>
    <w:rsid w:val="00010D5E"/>
    <w:rsid w:val="000123B7"/>
    <w:rsid w:val="00013F46"/>
    <w:rsid w:val="00015DF5"/>
    <w:rsid w:val="00017D24"/>
    <w:rsid w:val="00017FBF"/>
    <w:rsid w:val="0002384B"/>
    <w:rsid w:val="00023D07"/>
    <w:rsid w:val="000266F3"/>
    <w:rsid w:val="000300D7"/>
    <w:rsid w:val="00030613"/>
    <w:rsid w:val="0003206B"/>
    <w:rsid w:val="00034B23"/>
    <w:rsid w:val="000362B3"/>
    <w:rsid w:val="000458D1"/>
    <w:rsid w:val="00051919"/>
    <w:rsid w:val="00052DC2"/>
    <w:rsid w:val="00053BEC"/>
    <w:rsid w:val="00062FB9"/>
    <w:rsid w:val="00063945"/>
    <w:rsid w:val="0007109B"/>
    <w:rsid w:val="00074B85"/>
    <w:rsid w:val="000764C3"/>
    <w:rsid w:val="000773BB"/>
    <w:rsid w:val="000806BE"/>
    <w:rsid w:val="000825D6"/>
    <w:rsid w:val="00085E0A"/>
    <w:rsid w:val="00086DD4"/>
    <w:rsid w:val="0009067F"/>
    <w:rsid w:val="00093D18"/>
    <w:rsid w:val="0009490C"/>
    <w:rsid w:val="00095EE3"/>
    <w:rsid w:val="00097673"/>
    <w:rsid w:val="000A5987"/>
    <w:rsid w:val="000A6278"/>
    <w:rsid w:val="000A65D4"/>
    <w:rsid w:val="000B33F4"/>
    <w:rsid w:val="000B474A"/>
    <w:rsid w:val="000B52A8"/>
    <w:rsid w:val="000C0104"/>
    <w:rsid w:val="000C229D"/>
    <w:rsid w:val="000C3D23"/>
    <w:rsid w:val="000C5FE1"/>
    <w:rsid w:val="000C6000"/>
    <w:rsid w:val="000D175A"/>
    <w:rsid w:val="000D1D8D"/>
    <w:rsid w:val="000D1E06"/>
    <w:rsid w:val="000E106C"/>
    <w:rsid w:val="000E796E"/>
    <w:rsid w:val="000F3C76"/>
    <w:rsid w:val="000F5619"/>
    <w:rsid w:val="000F6F60"/>
    <w:rsid w:val="000F73CA"/>
    <w:rsid w:val="00100F38"/>
    <w:rsid w:val="001020D4"/>
    <w:rsid w:val="0011761B"/>
    <w:rsid w:val="00126D59"/>
    <w:rsid w:val="001353D5"/>
    <w:rsid w:val="00140144"/>
    <w:rsid w:val="00140364"/>
    <w:rsid w:val="00141662"/>
    <w:rsid w:val="001429D9"/>
    <w:rsid w:val="00143AB7"/>
    <w:rsid w:val="00150B3B"/>
    <w:rsid w:val="00151779"/>
    <w:rsid w:val="00156A12"/>
    <w:rsid w:val="001579F0"/>
    <w:rsid w:val="001651CB"/>
    <w:rsid w:val="00167AFF"/>
    <w:rsid w:val="001703A9"/>
    <w:rsid w:val="001739F3"/>
    <w:rsid w:val="00186658"/>
    <w:rsid w:val="00194873"/>
    <w:rsid w:val="001A4939"/>
    <w:rsid w:val="001B35A9"/>
    <w:rsid w:val="001B6802"/>
    <w:rsid w:val="001B7567"/>
    <w:rsid w:val="001C7A3C"/>
    <w:rsid w:val="001D2423"/>
    <w:rsid w:val="001D586E"/>
    <w:rsid w:val="001E08A3"/>
    <w:rsid w:val="001E15FF"/>
    <w:rsid w:val="001E2F3F"/>
    <w:rsid w:val="001F4D2A"/>
    <w:rsid w:val="001F6DE0"/>
    <w:rsid w:val="00201A43"/>
    <w:rsid w:val="002031A5"/>
    <w:rsid w:val="00204F34"/>
    <w:rsid w:val="00213991"/>
    <w:rsid w:val="0021430C"/>
    <w:rsid w:val="00220179"/>
    <w:rsid w:val="00226BB6"/>
    <w:rsid w:val="00232195"/>
    <w:rsid w:val="00237052"/>
    <w:rsid w:val="00240236"/>
    <w:rsid w:val="00250D68"/>
    <w:rsid w:val="00251B7B"/>
    <w:rsid w:val="0025380C"/>
    <w:rsid w:val="00257C5F"/>
    <w:rsid w:val="00257DAE"/>
    <w:rsid w:val="00262093"/>
    <w:rsid w:val="00263AEE"/>
    <w:rsid w:val="00283AA7"/>
    <w:rsid w:val="00291AEF"/>
    <w:rsid w:val="002921EC"/>
    <w:rsid w:val="0029367A"/>
    <w:rsid w:val="002A1904"/>
    <w:rsid w:val="002A3B90"/>
    <w:rsid w:val="002B141F"/>
    <w:rsid w:val="002B5DE9"/>
    <w:rsid w:val="002C6B13"/>
    <w:rsid w:val="002C70C7"/>
    <w:rsid w:val="002D1B9C"/>
    <w:rsid w:val="002D6422"/>
    <w:rsid w:val="002E157D"/>
    <w:rsid w:val="002E2C1F"/>
    <w:rsid w:val="002E50DB"/>
    <w:rsid w:val="002E7051"/>
    <w:rsid w:val="002F4981"/>
    <w:rsid w:val="002F6514"/>
    <w:rsid w:val="003008EE"/>
    <w:rsid w:val="00301694"/>
    <w:rsid w:val="00311FDC"/>
    <w:rsid w:val="003131D9"/>
    <w:rsid w:val="00315D0F"/>
    <w:rsid w:val="00331561"/>
    <w:rsid w:val="00331D65"/>
    <w:rsid w:val="00333BB6"/>
    <w:rsid w:val="00340331"/>
    <w:rsid w:val="00346C94"/>
    <w:rsid w:val="00346DAB"/>
    <w:rsid w:val="0034789A"/>
    <w:rsid w:val="003600EF"/>
    <w:rsid w:val="00360905"/>
    <w:rsid w:val="00361EC7"/>
    <w:rsid w:val="00365AA2"/>
    <w:rsid w:val="003759BD"/>
    <w:rsid w:val="00380C2E"/>
    <w:rsid w:val="00380FFA"/>
    <w:rsid w:val="00391E3F"/>
    <w:rsid w:val="00393534"/>
    <w:rsid w:val="003947AE"/>
    <w:rsid w:val="003A0A1D"/>
    <w:rsid w:val="003A4A78"/>
    <w:rsid w:val="003A65D4"/>
    <w:rsid w:val="003A6A05"/>
    <w:rsid w:val="003A6B83"/>
    <w:rsid w:val="003B0279"/>
    <w:rsid w:val="003B0EE2"/>
    <w:rsid w:val="003B275B"/>
    <w:rsid w:val="003B49A8"/>
    <w:rsid w:val="003B63C2"/>
    <w:rsid w:val="003B6C68"/>
    <w:rsid w:val="003C22B5"/>
    <w:rsid w:val="003C4930"/>
    <w:rsid w:val="003C52AF"/>
    <w:rsid w:val="003C738E"/>
    <w:rsid w:val="003D0DE9"/>
    <w:rsid w:val="003D28CF"/>
    <w:rsid w:val="003D3833"/>
    <w:rsid w:val="003D4102"/>
    <w:rsid w:val="003D51D2"/>
    <w:rsid w:val="003D5CE7"/>
    <w:rsid w:val="003D6D72"/>
    <w:rsid w:val="003E5E7D"/>
    <w:rsid w:val="003E6F4D"/>
    <w:rsid w:val="003F0680"/>
    <w:rsid w:val="003F5187"/>
    <w:rsid w:val="003F6A08"/>
    <w:rsid w:val="0040041A"/>
    <w:rsid w:val="0040062F"/>
    <w:rsid w:val="0040099B"/>
    <w:rsid w:val="004060BD"/>
    <w:rsid w:val="00407521"/>
    <w:rsid w:val="004118A4"/>
    <w:rsid w:val="00416619"/>
    <w:rsid w:val="00417AB5"/>
    <w:rsid w:val="004266B1"/>
    <w:rsid w:val="0042691B"/>
    <w:rsid w:val="00427493"/>
    <w:rsid w:val="00430EB1"/>
    <w:rsid w:val="004338F1"/>
    <w:rsid w:val="00434F25"/>
    <w:rsid w:val="004417F6"/>
    <w:rsid w:val="00443B60"/>
    <w:rsid w:val="004547EC"/>
    <w:rsid w:val="004618F7"/>
    <w:rsid w:val="0046297C"/>
    <w:rsid w:val="00464791"/>
    <w:rsid w:val="00470137"/>
    <w:rsid w:val="0047209C"/>
    <w:rsid w:val="004732D2"/>
    <w:rsid w:val="004752D3"/>
    <w:rsid w:val="00476C83"/>
    <w:rsid w:val="0048362C"/>
    <w:rsid w:val="0048455D"/>
    <w:rsid w:val="00492433"/>
    <w:rsid w:val="00493C42"/>
    <w:rsid w:val="004A022A"/>
    <w:rsid w:val="004A219D"/>
    <w:rsid w:val="004C0127"/>
    <w:rsid w:val="004C6E6B"/>
    <w:rsid w:val="004D710C"/>
    <w:rsid w:val="004E7C1C"/>
    <w:rsid w:val="004F1DC2"/>
    <w:rsid w:val="004F56E3"/>
    <w:rsid w:val="004F75A1"/>
    <w:rsid w:val="00502BF3"/>
    <w:rsid w:val="0050684D"/>
    <w:rsid w:val="00513430"/>
    <w:rsid w:val="00517DCB"/>
    <w:rsid w:val="00531B93"/>
    <w:rsid w:val="00536937"/>
    <w:rsid w:val="00536A0F"/>
    <w:rsid w:val="005376EE"/>
    <w:rsid w:val="00537C80"/>
    <w:rsid w:val="00542D37"/>
    <w:rsid w:val="005544EE"/>
    <w:rsid w:val="00556E0C"/>
    <w:rsid w:val="00565552"/>
    <w:rsid w:val="00567385"/>
    <w:rsid w:val="00567E8C"/>
    <w:rsid w:val="00580AFA"/>
    <w:rsid w:val="00584A7E"/>
    <w:rsid w:val="005873AC"/>
    <w:rsid w:val="005876B9"/>
    <w:rsid w:val="005918B6"/>
    <w:rsid w:val="00593A27"/>
    <w:rsid w:val="00594A94"/>
    <w:rsid w:val="005A77F0"/>
    <w:rsid w:val="005A78A3"/>
    <w:rsid w:val="005B6F26"/>
    <w:rsid w:val="005C06C3"/>
    <w:rsid w:val="005C28A4"/>
    <w:rsid w:val="005C4849"/>
    <w:rsid w:val="005C6D6A"/>
    <w:rsid w:val="005D1E31"/>
    <w:rsid w:val="005D2B14"/>
    <w:rsid w:val="005D4B7C"/>
    <w:rsid w:val="005D55E0"/>
    <w:rsid w:val="005D5808"/>
    <w:rsid w:val="005D7DE5"/>
    <w:rsid w:val="005E3B28"/>
    <w:rsid w:val="005E3BC8"/>
    <w:rsid w:val="005E3FBF"/>
    <w:rsid w:val="005F08B9"/>
    <w:rsid w:val="005F29DE"/>
    <w:rsid w:val="00601314"/>
    <w:rsid w:val="00605BE9"/>
    <w:rsid w:val="00610406"/>
    <w:rsid w:val="00610D6F"/>
    <w:rsid w:val="00612647"/>
    <w:rsid w:val="0061269F"/>
    <w:rsid w:val="00613308"/>
    <w:rsid w:val="00625A76"/>
    <w:rsid w:val="00634F1D"/>
    <w:rsid w:val="00635AD7"/>
    <w:rsid w:val="00636A42"/>
    <w:rsid w:val="006424A9"/>
    <w:rsid w:val="0064386D"/>
    <w:rsid w:val="00643D25"/>
    <w:rsid w:val="00652FAB"/>
    <w:rsid w:val="00653CB7"/>
    <w:rsid w:val="00654582"/>
    <w:rsid w:val="00660D98"/>
    <w:rsid w:val="0066266D"/>
    <w:rsid w:val="00663A15"/>
    <w:rsid w:val="00663EE6"/>
    <w:rsid w:val="00664A3B"/>
    <w:rsid w:val="006676E8"/>
    <w:rsid w:val="00667AC2"/>
    <w:rsid w:val="00691E0F"/>
    <w:rsid w:val="006929F6"/>
    <w:rsid w:val="00693842"/>
    <w:rsid w:val="006954D9"/>
    <w:rsid w:val="006A4DA4"/>
    <w:rsid w:val="006A6D16"/>
    <w:rsid w:val="006A7988"/>
    <w:rsid w:val="006B0A57"/>
    <w:rsid w:val="006C04B0"/>
    <w:rsid w:val="006C0906"/>
    <w:rsid w:val="006C4A55"/>
    <w:rsid w:val="006C5143"/>
    <w:rsid w:val="006C64CF"/>
    <w:rsid w:val="006D64EC"/>
    <w:rsid w:val="006E254F"/>
    <w:rsid w:val="006E2D37"/>
    <w:rsid w:val="006E2D91"/>
    <w:rsid w:val="006F29EF"/>
    <w:rsid w:val="006F5C62"/>
    <w:rsid w:val="0070090B"/>
    <w:rsid w:val="00707B89"/>
    <w:rsid w:val="00712B58"/>
    <w:rsid w:val="007136AD"/>
    <w:rsid w:val="007210B1"/>
    <w:rsid w:val="00724679"/>
    <w:rsid w:val="00726067"/>
    <w:rsid w:val="00727382"/>
    <w:rsid w:val="00732387"/>
    <w:rsid w:val="0073359E"/>
    <w:rsid w:val="00735F40"/>
    <w:rsid w:val="00737363"/>
    <w:rsid w:val="00741219"/>
    <w:rsid w:val="0074132A"/>
    <w:rsid w:val="007420FF"/>
    <w:rsid w:val="0074233F"/>
    <w:rsid w:val="00742928"/>
    <w:rsid w:val="00751014"/>
    <w:rsid w:val="00754AE0"/>
    <w:rsid w:val="00755237"/>
    <w:rsid w:val="00756597"/>
    <w:rsid w:val="00757EBC"/>
    <w:rsid w:val="007613F5"/>
    <w:rsid w:val="00762545"/>
    <w:rsid w:val="00765469"/>
    <w:rsid w:val="007661B6"/>
    <w:rsid w:val="007671C8"/>
    <w:rsid w:val="0077009B"/>
    <w:rsid w:val="007733F6"/>
    <w:rsid w:val="00774681"/>
    <w:rsid w:val="00781253"/>
    <w:rsid w:val="00784E9F"/>
    <w:rsid w:val="0078509B"/>
    <w:rsid w:val="0079044E"/>
    <w:rsid w:val="0079154D"/>
    <w:rsid w:val="00797F10"/>
    <w:rsid w:val="007A0ABE"/>
    <w:rsid w:val="007A0D8A"/>
    <w:rsid w:val="007A5E00"/>
    <w:rsid w:val="007B00C0"/>
    <w:rsid w:val="007B1B0B"/>
    <w:rsid w:val="007B3C83"/>
    <w:rsid w:val="007B565C"/>
    <w:rsid w:val="007B67C2"/>
    <w:rsid w:val="007B73EA"/>
    <w:rsid w:val="007C0357"/>
    <w:rsid w:val="007C36D3"/>
    <w:rsid w:val="007C786A"/>
    <w:rsid w:val="007D35F2"/>
    <w:rsid w:val="007D3D71"/>
    <w:rsid w:val="007E3522"/>
    <w:rsid w:val="007F36F6"/>
    <w:rsid w:val="008043EE"/>
    <w:rsid w:val="008052B0"/>
    <w:rsid w:val="00811AD6"/>
    <w:rsid w:val="0081330D"/>
    <w:rsid w:val="008136FC"/>
    <w:rsid w:val="008150E9"/>
    <w:rsid w:val="00817967"/>
    <w:rsid w:val="00826CCE"/>
    <w:rsid w:val="0083099B"/>
    <w:rsid w:val="00843279"/>
    <w:rsid w:val="00844240"/>
    <w:rsid w:val="00851E36"/>
    <w:rsid w:val="008571E6"/>
    <w:rsid w:val="00857310"/>
    <w:rsid w:val="00863BE1"/>
    <w:rsid w:val="00875954"/>
    <w:rsid w:val="008778B6"/>
    <w:rsid w:val="00880CD4"/>
    <w:rsid w:val="00880E19"/>
    <w:rsid w:val="00890D39"/>
    <w:rsid w:val="00892F86"/>
    <w:rsid w:val="008A2F06"/>
    <w:rsid w:val="008A45DB"/>
    <w:rsid w:val="008B06FA"/>
    <w:rsid w:val="008B6852"/>
    <w:rsid w:val="008C1E3E"/>
    <w:rsid w:val="008C3686"/>
    <w:rsid w:val="008C401E"/>
    <w:rsid w:val="008C5F40"/>
    <w:rsid w:val="008D3980"/>
    <w:rsid w:val="008E6563"/>
    <w:rsid w:val="008F022E"/>
    <w:rsid w:val="008F124F"/>
    <w:rsid w:val="0090084F"/>
    <w:rsid w:val="00903E5E"/>
    <w:rsid w:val="00911271"/>
    <w:rsid w:val="00913DA5"/>
    <w:rsid w:val="009169C5"/>
    <w:rsid w:val="00920E48"/>
    <w:rsid w:val="00921381"/>
    <w:rsid w:val="00921425"/>
    <w:rsid w:val="0092225D"/>
    <w:rsid w:val="009235CE"/>
    <w:rsid w:val="00927F7D"/>
    <w:rsid w:val="009363F8"/>
    <w:rsid w:val="0093798C"/>
    <w:rsid w:val="00937ABB"/>
    <w:rsid w:val="009442C9"/>
    <w:rsid w:val="00946573"/>
    <w:rsid w:val="00950810"/>
    <w:rsid w:val="009579B9"/>
    <w:rsid w:val="00965A48"/>
    <w:rsid w:val="009661DB"/>
    <w:rsid w:val="009663AC"/>
    <w:rsid w:val="00967B01"/>
    <w:rsid w:val="0097094D"/>
    <w:rsid w:val="00970EFF"/>
    <w:rsid w:val="00975143"/>
    <w:rsid w:val="0098608E"/>
    <w:rsid w:val="0098727F"/>
    <w:rsid w:val="00990B70"/>
    <w:rsid w:val="00991383"/>
    <w:rsid w:val="009939D6"/>
    <w:rsid w:val="00994DEC"/>
    <w:rsid w:val="0099510F"/>
    <w:rsid w:val="00995B1A"/>
    <w:rsid w:val="009A32A4"/>
    <w:rsid w:val="009A3AD4"/>
    <w:rsid w:val="009A459A"/>
    <w:rsid w:val="009A48A3"/>
    <w:rsid w:val="009A4DE6"/>
    <w:rsid w:val="009B4F20"/>
    <w:rsid w:val="009B6C06"/>
    <w:rsid w:val="009C21B5"/>
    <w:rsid w:val="009C2481"/>
    <w:rsid w:val="009C431D"/>
    <w:rsid w:val="009C4B64"/>
    <w:rsid w:val="009C76A7"/>
    <w:rsid w:val="009D11C7"/>
    <w:rsid w:val="009D38C8"/>
    <w:rsid w:val="009D6E1C"/>
    <w:rsid w:val="009D6F12"/>
    <w:rsid w:val="009E09D8"/>
    <w:rsid w:val="009E294A"/>
    <w:rsid w:val="009E6962"/>
    <w:rsid w:val="009E6DEB"/>
    <w:rsid w:val="009F14D6"/>
    <w:rsid w:val="009F31D8"/>
    <w:rsid w:val="009F74F2"/>
    <w:rsid w:val="009F7ECE"/>
    <w:rsid w:val="00A06FC9"/>
    <w:rsid w:val="00A10F56"/>
    <w:rsid w:val="00A114D8"/>
    <w:rsid w:val="00A17772"/>
    <w:rsid w:val="00A215E6"/>
    <w:rsid w:val="00A2794E"/>
    <w:rsid w:val="00A37AD3"/>
    <w:rsid w:val="00A412A5"/>
    <w:rsid w:val="00A42FDD"/>
    <w:rsid w:val="00A46EAD"/>
    <w:rsid w:val="00A5608E"/>
    <w:rsid w:val="00A56485"/>
    <w:rsid w:val="00A56BFB"/>
    <w:rsid w:val="00A60D1F"/>
    <w:rsid w:val="00A7368E"/>
    <w:rsid w:val="00A74329"/>
    <w:rsid w:val="00A81520"/>
    <w:rsid w:val="00A8223B"/>
    <w:rsid w:val="00A82CFF"/>
    <w:rsid w:val="00A86792"/>
    <w:rsid w:val="00A86C39"/>
    <w:rsid w:val="00A923D8"/>
    <w:rsid w:val="00A955BE"/>
    <w:rsid w:val="00A972AC"/>
    <w:rsid w:val="00AA0983"/>
    <w:rsid w:val="00AA108A"/>
    <w:rsid w:val="00AA1317"/>
    <w:rsid w:val="00AA472E"/>
    <w:rsid w:val="00AA647F"/>
    <w:rsid w:val="00AA6D02"/>
    <w:rsid w:val="00AB3D36"/>
    <w:rsid w:val="00AB63CA"/>
    <w:rsid w:val="00AC0C1E"/>
    <w:rsid w:val="00AC13FB"/>
    <w:rsid w:val="00AC15D8"/>
    <w:rsid w:val="00AC1846"/>
    <w:rsid w:val="00AD3E87"/>
    <w:rsid w:val="00AD6D23"/>
    <w:rsid w:val="00AE2768"/>
    <w:rsid w:val="00AF3425"/>
    <w:rsid w:val="00AF3503"/>
    <w:rsid w:val="00AF429A"/>
    <w:rsid w:val="00B108CC"/>
    <w:rsid w:val="00B11C39"/>
    <w:rsid w:val="00B11E04"/>
    <w:rsid w:val="00B12976"/>
    <w:rsid w:val="00B12FDD"/>
    <w:rsid w:val="00B140F7"/>
    <w:rsid w:val="00B1505A"/>
    <w:rsid w:val="00B20B9A"/>
    <w:rsid w:val="00B2230D"/>
    <w:rsid w:val="00B22CBB"/>
    <w:rsid w:val="00B2447F"/>
    <w:rsid w:val="00B25E13"/>
    <w:rsid w:val="00B3080D"/>
    <w:rsid w:val="00B37B05"/>
    <w:rsid w:val="00B40095"/>
    <w:rsid w:val="00B42FB2"/>
    <w:rsid w:val="00B44AD9"/>
    <w:rsid w:val="00B44E4A"/>
    <w:rsid w:val="00B51BAE"/>
    <w:rsid w:val="00B547B5"/>
    <w:rsid w:val="00B55201"/>
    <w:rsid w:val="00B56F33"/>
    <w:rsid w:val="00B60176"/>
    <w:rsid w:val="00B63929"/>
    <w:rsid w:val="00B66F6C"/>
    <w:rsid w:val="00B727CB"/>
    <w:rsid w:val="00B77724"/>
    <w:rsid w:val="00B8246F"/>
    <w:rsid w:val="00B86818"/>
    <w:rsid w:val="00B930E6"/>
    <w:rsid w:val="00B948B9"/>
    <w:rsid w:val="00B95218"/>
    <w:rsid w:val="00B96172"/>
    <w:rsid w:val="00B970B6"/>
    <w:rsid w:val="00B97997"/>
    <w:rsid w:val="00BA1EC4"/>
    <w:rsid w:val="00BB094D"/>
    <w:rsid w:val="00BB60F4"/>
    <w:rsid w:val="00BB752B"/>
    <w:rsid w:val="00BB7C32"/>
    <w:rsid w:val="00BC03DE"/>
    <w:rsid w:val="00BC38F4"/>
    <w:rsid w:val="00BD6F49"/>
    <w:rsid w:val="00BD7F56"/>
    <w:rsid w:val="00BE1499"/>
    <w:rsid w:val="00BE31A7"/>
    <w:rsid w:val="00BF1B68"/>
    <w:rsid w:val="00BF6340"/>
    <w:rsid w:val="00C0339D"/>
    <w:rsid w:val="00C03F5C"/>
    <w:rsid w:val="00C06BAF"/>
    <w:rsid w:val="00C11174"/>
    <w:rsid w:val="00C113AC"/>
    <w:rsid w:val="00C11A39"/>
    <w:rsid w:val="00C12A71"/>
    <w:rsid w:val="00C15B99"/>
    <w:rsid w:val="00C176F5"/>
    <w:rsid w:val="00C21C19"/>
    <w:rsid w:val="00C25526"/>
    <w:rsid w:val="00C26E08"/>
    <w:rsid w:val="00C360AC"/>
    <w:rsid w:val="00C37538"/>
    <w:rsid w:val="00C41236"/>
    <w:rsid w:val="00C41D93"/>
    <w:rsid w:val="00C45055"/>
    <w:rsid w:val="00C475DF"/>
    <w:rsid w:val="00C54DDC"/>
    <w:rsid w:val="00C63B51"/>
    <w:rsid w:val="00C64B61"/>
    <w:rsid w:val="00C659FC"/>
    <w:rsid w:val="00C667AB"/>
    <w:rsid w:val="00C868C7"/>
    <w:rsid w:val="00C9615D"/>
    <w:rsid w:val="00CA542E"/>
    <w:rsid w:val="00CA6D33"/>
    <w:rsid w:val="00CB039A"/>
    <w:rsid w:val="00CC2DD4"/>
    <w:rsid w:val="00CD33C2"/>
    <w:rsid w:val="00CE1AD6"/>
    <w:rsid w:val="00CE2A07"/>
    <w:rsid w:val="00CE63F0"/>
    <w:rsid w:val="00CE728A"/>
    <w:rsid w:val="00CF01E0"/>
    <w:rsid w:val="00CF5CB2"/>
    <w:rsid w:val="00CF7246"/>
    <w:rsid w:val="00D02CD6"/>
    <w:rsid w:val="00D0530F"/>
    <w:rsid w:val="00D06E54"/>
    <w:rsid w:val="00D13411"/>
    <w:rsid w:val="00D14424"/>
    <w:rsid w:val="00D16C23"/>
    <w:rsid w:val="00D16DD0"/>
    <w:rsid w:val="00D17270"/>
    <w:rsid w:val="00D20BF3"/>
    <w:rsid w:val="00D300E9"/>
    <w:rsid w:val="00D370DA"/>
    <w:rsid w:val="00D415F4"/>
    <w:rsid w:val="00D44FA9"/>
    <w:rsid w:val="00D47D86"/>
    <w:rsid w:val="00D5065F"/>
    <w:rsid w:val="00D5246D"/>
    <w:rsid w:val="00D53BD6"/>
    <w:rsid w:val="00D5705F"/>
    <w:rsid w:val="00D60233"/>
    <w:rsid w:val="00D64B5D"/>
    <w:rsid w:val="00D66F6F"/>
    <w:rsid w:val="00D70440"/>
    <w:rsid w:val="00D70A6A"/>
    <w:rsid w:val="00D72945"/>
    <w:rsid w:val="00D90965"/>
    <w:rsid w:val="00D92BD7"/>
    <w:rsid w:val="00D9484C"/>
    <w:rsid w:val="00D960A8"/>
    <w:rsid w:val="00DA6121"/>
    <w:rsid w:val="00DB1862"/>
    <w:rsid w:val="00DC0CA6"/>
    <w:rsid w:val="00DC5F84"/>
    <w:rsid w:val="00DC79B0"/>
    <w:rsid w:val="00DE2313"/>
    <w:rsid w:val="00DE3D61"/>
    <w:rsid w:val="00DE49F8"/>
    <w:rsid w:val="00DE57C8"/>
    <w:rsid w:val="00DF4706"/>
    <w:rsid w:val="00DF56C9"/>
    <w:rsid w:val="00E037B2"/>
    <w:rsid w:val="00E05C47"/>
    <w:rsid w:val="00E06802"/>
    <w:rsid w:val="00E06AA4"/>
    <w:rsid w:val="00E11808"/>
    <w:rsid w:val="00E123C8"/>
    <w:rsid w:val="00E2215E"/>
    <w:rsid w:val="00E24DD6"/>
    <w:rsid w:val="00E35CE2"/>
    <w:rsid w:val="00E400BE"/>
    <w:rsid w:val="00E405C1"/>
    <w:rsid w:val="00E411C5"/>
    <w:rsid w:val="00E431D7"/>
    <w:rsid w:val="00E4418A"/>
    <w:rsid w:val="00E53585"/>
    <w:rsid w:val="00E546C4"/>
    <w:rsid w:val="00E5501C"/>
    <w:rsid w:val="00E56E89"/>
    <w:rsid w:val="00E66E29"/>
    <w:rsid w:val="00E67E0D"/>
    <w:rsid w:val="00E71ACF"/>
    <w:rsid w:val="00E71B28"/>
    <w:rsid w:val="00E83D2D"/>
    <w:rsid w:val="00E84361"/>
    <w:rsid w:val="00E84445"/>
    <w:rsid w:val="00E86087"/>
    <w:rsid w:val="00E87858"/>
    <w:rsid w:val="00E92437"/>
    <w:rsid w:val="00E92596"/>
    <w:rsid w:val="00E9388E"/>
    <w:rsid w:val="00E940DC"/>
    <w:rsid w:val="00E95850"/>
    <w:rsid w:val="00E96AF2"/>
    <w:rsid w:val="00EA201E"/>
    <w:rsid w:val="00EA43D3"/>
    <w:rsid w:val="00EA5CB9"/>
    <w:rsid w:val="00EB122D"/>
    <w:rsid w:val="00EB15E1"/>
    <w:rsid w:val="00EB6E5D"/>
    <w:rsid w:val="00EB7FE6"/>
    <w:rsid w:val="00EC4F79"/>
    <w:rsid w:val="00ED317F"/>
    <w:rsid w:val="00EE0FD2"/>
    <w:rsid w:val="00EE3BFF"/>
    <w:rsid w:val="00EE41CF"/>
    <w:rsid w:val="00EE515F"/>
    <w:rsid w:val="00EE5C40"/>
    <w:rsid w:val="00EE6537"/>
    <w:rsid w:val="00EE71C7"/>
    <w:rsid w:val="00EF187A"/>
    <w:rsid w:val="00EF1887"/>
    <w:rsid w:val="00EF19BD"/>
    <w:rsid w:val="00EF3272"/>
    <w:rsid w:val="00EF330C"/>
    <w:rsid w:val="00EF74E7"/>
    <w:rsid w:val="00F11EEC"/>
    <w:rsid w:val="00F13886"/>
    <w:rsid w:val="00F14D93"/>
    <w:rsid w:val="00F16815"/>
    <w:rsid w:val="00F16B5B"/>
    <w:rsid w:val="00F17AF2"/>
    <w:rsid w:val="00F17B4D"/>
    <w:rsid w:val="00F30D4E"/>
    <w:rsid w:val="00F33AF9"/>
    <w:rsid w:val="00F3534A"/>
    <w:rsid w:val="00F40840"/>
    <w:rsid w:val="00F40E5D"/>
    <w:rsid w:val="00F4115F"/>
    <w:rsid w:val="00F42EFD"/>
    <w:rsid w:val="00F44E7D"/>
    <w:rsid w:val="00F51214"/>
    <w:rsid w:val="00F512DC"/>
    <w:rsid w:val="00F528D6"/>
    <w:rsid w:val="00F54C83"/>
    <w:rsid w:val="00F60A61"/>
    <w:rsid w:val="00F6111D"/>
    <w:rsid w:val="00F6627C"/>
    <w:rsid w:val="00F7082E"/>
    <w:rsid w:val="00F72826"/>
    <w:rsid w:val="00F743AB"/>
    <w:rsid w:val="00F77A13"/>
    <w:rsid w:val="00F839FC"/>
    <w:rsid w:val="00F91BF8"/>
    <w:rsid w:val="00F931A2"/>
    <w:rsid w:val="00F939E7"/>
    <w:rsid w:val="00F96FB3"/>
    <w:rsid w:val="00FA2EC2"/>
    <w:rsid w:val="00FA3291"/>
    <w:rsid w:val="00FA4847"/>
    <w:rsid w:val="00FA76F8"/>
    <w:rsid w:val="00FB54FB"/>
    <w:rsid w:val="00FB6154"/>
    <w:rsid w:val="00FC1902"/>
    <w:rsid w:val="00FC2CB7"/>
    <w:rsid w:val="00FD1C47"/>
    <w:rsid w:val="00FD2D6B"/>
    <w:rsid w:val="00FE6D18"/>
    <w:rsid w:val="00FF0A29"/>
    <w:rsid w:val="00FF1DF6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897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25D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customStyle="1" w:styleId="tvhtml">
    <w:name w:val="tv_html"/>
    <w:basedOn w:val="Normal"/>
    <w:rsid w:val="003C738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1D586E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31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B28C-DF58-3F42-AB90-B3168422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1067</Words>
  <Characters>6086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Justīna Hudenko</dc:creator>
  <cp:lastModifiedBy>Māris Andiņš</cp:lastModifiedBy>
  <cp:revision>3</cp:revision>
  <cp:lastPrinted>2019-06-17T17:15:00Z</cp:lastPrinted>
  <dcterms:created xsi:type="dcterms:W3CDTF">2020-12-20T22:38:00Z</dcterms:created>
  <dcterms:modified xsi:type="dcterms:W3CDTF">2020-12-21T11:24:00Z</dcterms:modified>
</cp:coreProperties>
</file>